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F61AE" w14:textId="77777777" w:rsidR="003D4829" w:rsidRDefault="003D4829" w:rsidP="00874E11">
      <w:pPr>
        <w:pStyle w:val="Header"/>
        <w:tabs>
          <w:tab w:val="clear" w:pos="9639"/>
          <w:tab w:val="right" w:pos="5954"/>
        </w:tabs>
        <w:spacing w:after="120"/>
        <w:jc w:val="center"/>
      </w:pPr>
      <w:r>
        <w:rPr>
          <w:b/>
          <w:noProof/>
          <w:sz w:val="32"/>
          <w:szCs w:val="32"/>
          <w:lang w:val="nl-NL" w:eastAsia="nl-NL"/>
        </w:rPr>
        <w:drawing>
          <wp:inline distT="0" distB="0" distL="0" distR="0" wp14:anchorId="55498794" wp14:editId="5A91DF8F">
            <wp:extent cx="644055" cy="629152"/>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_LogoVerti_RGB.jpg"/>
                    <pic:cNvPicPr/>
                  </pic:nvPicPr>
                  <pic:blipFill>
                    <a:blip r:embed="rId9">
                      <a:extLst>
                        <a:ext uri="{28A0092B-C50C-407E-A947-70E740481C1C}">
                          <a14:useLocalDpi xmlns:a14="http://schemas.microsoft.com/office/drawing/2010/main" val="0"/>
                        </a:ext>
                      </a:extLst>
                    </a:blip>
                    <a:stretch>
                      <a:fillRect/>
                    </a:stretch>
                  </pic:blipFill>
                  <pic:spPr>
                    <a:xfrm>
                      <a:off x="0" y="0"/>
                      <a:ext cx="650875" cy="635815"/>
                    </a:xfrm>
                    <a:prstGeom prst="rect">
                      <a:avLst/>
                    </a:prstGeom>
                  </pic:spPr>
                </pic:pic>
              </a:graphicData>
            </a:graphic>
          </wp:inline>
        </w:drawing>
      </w:r>
    </w:p>
    <w:p w14:paraId="2F5302FD" w14:textId="63D45FC5" w:rsidR="00420A38" w:rsidRPr="003F09F0" w:rsidRDefault="003D4829" w:rsidP="003D4829">
      <w:pPr>
        <w:pStyle w:val="Header"/>
        <w:tabs>
          <w:tab w:val="clear" w:pos="9639"/>
          <w:tab w:val="right" w:pos="5954"/>
        </w:tabs>
        <w:spacing w:after="240"/>
        <w:jc w:val="center"/>
      </w:pPr>
      <w:r>
        <w:tab/>
      </w:r>
      <w:r w:rsidR="00420A38">
        <w:t>Input paper</w:t>
      </w:r>
      <w:r w:rsidR="00037DF4">
        <w:t>:</w:t>
      </w:r>
      <w:r w:rsidR="00420A38" w:rsidRPr="00B15B24">
        <w:tab/>
      </w:r>
      <w:r w:rsidR="00420A38">
        <w:t xml:space="preserve">     </w:t>
      </w:r>
      <w:r w:rsidR="008E257F">
        <w:t>VTS41-9.2.2</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36472AA9" w:rsidR="0080294B" w:rsidRPr="008327FD" w:rsidRDefault="0080294B" w:rsidP="008327FD">
      <w:pPr>
        <w:autoSpaceDE w:val="0"/>
        <w:autoSpaceDN w:val="0"/>
        <w:adjustRightInd w:val="0"/>
        <w:rPr>
          <w:rFonts w:ascii="MS Shell Dlg 2" w:hAnsi="MS Shell Dlg 2" w:cs="MS Shell Dlg 2"/>
          <w:sz w:val="17"/>
          <w:szCs w:val="17"/>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008327FD">
        <w:rPr>
          <w:rFonts w:cs="Arial"/>
          <w:sz w:val="26"/>
          <w:szCs w:val="26"/>
        </w:rPr>
        <w:t xml:space="preserve">√ </w:t>
      </w:r>
      <w:r w:rsidRPr="0080294B">
        <w:rPr>
          <w:rFonts w:cs="Arial"/>
          <w:sz w:val="24"/>
          <w:szCs w:val="24"/>
        </w:rPr>
        <w:t>Input</w:t>
      </w:r>
    </w:p>
    <w:p w14:paraId="0BC79547" w14:textId="499C9F10"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80294B">
        <w:rPr>
          <w:rFonts w:cs="Arial"/>
          <w:b/>
          <w:sz w:val="24"/>
          <w:szCs w:val="24"/>
        </w:rPr>
        <w:t>□</w:t>
      </w:r>
      <w:r w:rsidR="008327FD" w:rsidRPr="008327FD">
        <w:t xml:space="preserve"> </w:t>
      </w:r>
      <w:r w:rsidR="008327FD" w:rsidRPr="008327FD">
        <w:rPr>
          <w:rFonts w:cs="Arial"/>
          <w:sz w:val="24"/>
          <w:szCs w:val="24"/>
        </w:rPr>
        <w:t>√</w:t>
      </w:r>
      <w:r w:rsidRPr="008327FD">
        <w:rPr>
          <w:rFonts w:cs="Arial"/>
          <w:sz w:val="24"/>
          <w:szCs w:val="24"/>
        </w:rPr>
        <w:t xml:space="preserve">  </w:t>
      </w:r>
      <w:r w:rsidR="003D2DC1">
        <w:rPr>
          <w:rFonts w:cs="Arial"/>
        </w:rPr>
        <w:t>VTS</w:t>
      </w:r>
      <w:r w:rsidR="008327FD">
        <w:rPr>
          <w:rFonts w:cs="Arial"/>
        </w:rPr>
        <w:t xml:space="preserve">  </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BCC4131" w:rsidR="00A446C9" w:rsidRPr="00FE5674" w:rsidRDefault="00A446C9" w:rsidP="00FE5674">
      <w:pPr>
        <w:pStyle w:val="BodyText"/>
        <w:tabs>
          <w:tab w:val="left" w:pos="2835"/>
        </w:tabs>
      </w:pPr>
      <w:r w:rsidRPr="00FE5674">
        <w:t>Agenda item</w:t>
      </w:r>
      <w:r w:rsidR="001C44A3" w:rsidRPr="00FE5674">
        <w:tab/>
      </w:r>
      <w:r w:rsidR="0080294B">
        <w:tab/>
      </w:r>
      <w:r w:rsidR="0080294B">
        <w:tab/>
      </w:r>
      <w:proofErr w:type="spellStart"/>
      <w:r w:rsidR="0080294B" w:rsidRPr="0080294B">
        <w:t>n.n</w:t>
      </w:r>
      <w:proofErr w:type="spellEnd"/>
    </w:p>
    <w:p w14:paraId="1AB3E246" w14:textId="25EDDA08"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1C44A3" w:rsidRPr="00FE5674">
        <w:tab/>
      </w:r>
      <w:r>
        <w:t>…</w:t>
      </w:r>
      <w:r w:rsidR="00452C47">
        <w:t>TD 2.2.2</w:t>
      </w:r>
      <w:r>
        <w:t>………………………………</w:t>
      </w:r>
    </w:p>
    <w:p w14:paraId="01FC5420" w14:textId="61FF6B74"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D36250">
        <w:t>Kevin Gregory &amp; Barry Goldman on behalf of IHMA……</w:t>
      </w:r>
    </w:p>
    <w:p w14:paraId="60BCC120" w14:textId="77777777" w:rsidR="0080294B" w:rsidRDefault="0080294B" w:rsidP="00FE5674">
      <w:pPr>
        <w:pStyle w:val="BodyText"/>
        <w:tabs>
          <w:tab w:val="left" w:pos="2835"/>
        </w:tabs>
      </w:pPr>
    </w:p>
    <w:p w14:paraId="4834080C" w14:textId="7CCEDB6C" w:rsidR="00A446C9" w:rsidRDefault="00016AA8" w:rsidP="00A446C9">
      <w:pPr>
        <w:pStyle w:val="Title"/>
      </w:pPr>
      <w:r>
        <w:t>IALA</w:t>
      </w:r>
      <w:r w:rsidR="00D36250">
        <w:t xml:space="preserve"> Guideline 1111</w:t>
      </w:r>
      <w:r>
        <w:t xml:space="preserve"> – Operational Requirement Aspects</w:t>
      </w:r>
    </w:p>
    <w:p w14:paraId="0F258596" w14:textId="50FB6E37" w:rsidR="00A446C9" w:rsidRDefault="00A446C9" w:rsidP="00761C40">
      <w:pPr>
        <w:pStyle w:val="Heading1"/>
      </w:pPr>
      <w:r>
        <w:t>Summary</w:t>
      </w:r>
    </w:p>
    <w:p w14:paraId="5432CFB6" w14:textId="22199490" w:rsidR="00B56BDF" w:rsidRDefault="00D36250" w:rsidP="00761C40">
      <w:pPr>
        <w:pStyle w:val="BodyText"/>
        <w:jc w:val="left"/>
      </w:pPr>
      <w:r>
        <w:t xml:space="preserve">The new Guideline that supports the update to V-128 on Operational and Technical Performance of VTS Systems </w:t>
      </w:r>
      <w:r w:rsidR="00CB514E">
        <w:t xml:space="preserve">Ed 4 May 2015 </w:t>
      </w:r>
      <w:r w:rsidR="00C110AC">
        <w:t xml:space="preserve">[1] </w:t>
      </w:r>
      <w:r w:rsidR="00A20736">
        <w:t>carried forward capability</w:t>
      </w:r>
      <w:r>
        <w:t xml:space="preserve"> definitions</w:t>
      </w:r>
      <w:r w:rsidR="00A20736">
        <w:t xml:space="preserve"> in a form that </w:t>
      </w:r>
      <w:r w:rsidR="00FD4ECF">
        <w:t xml:space="preserve">now </w:t>
      </w:r>
      <w:r w:rsidR="00A20736">
        <w:t>ha</w:t>
      </w:r>
      <w:r w:rsidR="00FD4ECF">
        <w:t>ve</w:t>
      </w:r>
      <w:r w:rsidR="00A20736">
        <w:t xml:space="preserve"> the potential to confuse</w:t>
      </w:r>
      <w:r>
        <w:t xml:space="preserve">.  An amendment </w:t>
      </w:r>
      <w:r w:rsidR="00016AA8">
        <w:t xml:space="preserve">to update IALA Guideline 1111 </w:t>
      </w:r>
      <w:r>
        <w:t>is offered for consideration.</w:t>
      </w:r>
    </w:p>
    <w:p w14:paraId="3C575A26" w14:textId="77777777" w:rsidR="001C44A3" w:rsidRDefault="00BD4E6F" w:rsidP="00761C40">
      <w:pPr>
        <w:pStyle w:val="Heading2"/>
      </w:pPr>
      <w:r>
        <w:t>Purpose</w:t>
      </w:r>
      <w:r w:rsidR="004D1D85">
        <w:t xml:space="preserve"> of the document</w:t>
      </w:r>
    </w:p>
    <w:p w14:paraId="7E2A4642" w14:textId="25A3E677" w:rsidR="00E55927" w:rsidRPr="00B56BDF" w:rsidRDefault="00D36250" w:rsidP="00761C40">
      <w:pPr>
        <w:pStyle w:val="BodyText"/>
        <w:jc w:val="left"/>
      </w:pPr>
      <w:r>
        <w:t>To propose</w:t>
      </w:r>
      <w:r w:rsidR="00CB514E">
        <w:t xml:space="preserve"> an</w:t>
      </w:r>
      <w:r>
        <w:t xml:space="preserve"> amendment to IALA Guideline 1111 </w:t>
      </w:r>
      <w:r w:rsidRPr="00D36250">
        <w:t>- Preparation of Operational and Technical Performance Requirements for VTS Systems Ed 1 May 2015</w:t>
      </w:r>
      <w:r w:rsidR="00C110AC">
        <w:t xml:space="preserve"> [2]</w:t>
      </w:r>
    </w:p>
    <w:p w14:paraId="36D645BE" w14:textId="77777777" w:rsidR="00B56BDF" w:rsidRDefault="00B56BDF" w:rsidP="00761C40">
      <w:pPr>
        <w:pStyle w:val="Heading2"/>
      </w:pPr>
      <w:r>
        <w:t>Related documents</w:t>
      </w:r>
    </w:p>
    <w:p w14:paraId="553E55ED" w14:textId="3D7475BF" w:rsidR="00E55927" w:rsidRPr="00B56BDF" w:rsidRDefault="00D36250" w:rsidP="00761C40">
      <w:pPr>
        <w:pStyle w:val="BodyText"/>
        <w:jc w:val="left"/>
      </w:pPr>
      <w:r>
        <w:t>V-128</w:t>
      </w:r>
      <w:r w:rsidR="00CB514E" w:rsidRPr="00CB514E">
        <w:t xml:space="preserve"> - Op and Tech Performance Requirements for VTS </w:t>
      </w:r>
      <w:r w:rsidR="00016AA8" w:rsidRPr="00CB514E">
        <w:t>Eq</w:t>
      </w:r>
      <w:r w:rsidR="00016AA8">
        <w:t>u</w:t>
      </w:r>
      <w:r w:rsidR="00016AA8" w:rsidRPr="00CB514E">
        <w:t>i</w:t>
      </w:r>
      <w:r w:rsidR="00016AA8">
        <w:t>pment</w:t>
      </w:r>
      <w:r w:rsidR="00CB514E" w:rsidRPr="00CB514E">
        <w:t xml:space="preserve"> Ed 3 Jun 2007</w:t>
      </w:r>
      <w:r w:rsidR="00E55927">
        <w:t>.</w:t>
      </w:r>
    </w:p>
    <w:p w14:paraId="53733F03" w14:textId="77777777" w:rsidR="00A446C9" w:rsidRDefault="00A446C9" w:rsidP="00761C40">
      <w:pPr>
        <w:pStyle w:val="Heading1"/>
      </w:pPr>
      <w:r>
        <w:t>Background</w:t>
      </w:r>
    </w:p>
    <w:p w14:paraId="07452EBC" w14:textId="1D199F8F" w:rsidR="00A446C9" w:rsidRDefault="00D36250" w:rsidP="00761C40">
      <w:pPr>
        <w:pStyle w:val="BodyText"/>
        <w:jc w:val="left"/>
      </w:pPr>
      <w:r>
        <w:t xml:space="preserve">IHMA welcomes the update to V-128 and the issue of </w:t>
      </w:r>
      <w:r w:rsidR="00016AA8">
        <w:t>the</w:t>
      </w:r>
      <w:r>
        <w:t xml:space="preserve"> new supporting </w:t>
      </w:r>
      <w:r w:rsidR="00016AA8">
        <w:t xml:space="preserve">Guideline 1111 </w:t>
      </w:r>
      <w:r>
        <w:t xml:space="preserve">on </w:t>
      </w:r>
      <w:r w:rsidR="00016AA8">
        <w:t xml:space="preserve">the Preparation of </w:t>
      </w:r>
      <w:r>
        <w:t>Operational and Technical Performance Requirements</w:t>
      </w:r>
      <w:r w:rsidR="00016AA8">
        <w:t xml:space="preserve"> for VTS Systems</w:t>
      </w:r>
      <w:r w:rsidR="00CB514E">
        <w:t xml:space="preserve"> as a considerable improvement on the technical specifications for VTS equipment</w:t>
      </w:r>
      <w:r>
        <w:t>.  It has been noted, however that, while the new Guideline has carried forward the capabilit</w:t>
      </w:r>
      <w:r w:rsidR="00FD4ECF">
        <w:t xml:space="preserve">y levels </w:t>
      </w:r>
      <w:r>
        <w:t>of “Basic”, “Standard” and “Advanced”</w:t>
      </w:r>
      <w:r w:rsidR="00FD4ECF">
        <w:t xml:space="preserve"> in the tables of the radar section</w:t>
      </w:r>
      <w:r>
        <w:t>, the</w:t>
      </w:r>
      <w:r w:rsidR="00FD4ECF">
        <w:t xml:space="preserve"> explanation for the inclusion of these terms under the “D</w:t>
      </w:r>
      <w:r>
        <w:t>efinitions</w:t>
      </w:r>
      <w:r w:rsidR="00FD4ECF">
        <w:t xml:space="preserve">” sub-paragraph </w:t>
      </w:r>
      <w:r w:rsidR="0057682F">
        <w:t>only serves to confuse and would be better linked more directly to the tables to which they refer</w:t>
      </w:r>
      <w:r w:rsidR="00A20736">
        <w:t>.</w:t>
      </w:r>
      <w:r w:rsidR="00CB514E">
        <w:t xml:space="preserve"> </w:t>
      </w:r>
      <w:r>
        <w:t xml:space="preserve">  </w:t>
      </w:r>
    </w:p>
    <w:p w14:paraId="041E9135" w14:textId="77777777" w:rsidR="00A446C9" w:rsidRDefault="00A446C9" w:rsidP="00761C40">
      <w:pPr>
        <w:pStyle w:val="Heading1"/>
      </w:pPr>
      <w:r>
        <w:t>Discussion</w:t>
      </w:r>
    </w:p>
    <w:p w14:paraId="43E24CCC" w14:textId="75BCA968" w:rsidR="006E0DBF" w:rsidRDefault="006E0DBF" w:rsidP="00761C40">
      <w:pPr>
        <w:pStyle w:val="BodyText"/>
        <w:jc w:val="left"/>
      </w:pPr>
      <w:r>
        <w:t xml:space="preserve">The previous version (Edition 3) of IALA Recommendation V-128 made reference to </w:t>
      </w:r>
      <w:r w:rsidR="00CB514E">
        <w:t xml:space="preserve">three capability levels </w:t>
      </w:r>
      <w:r w:rsidR="00761C40">
        <w:t xml:space="preserve">in the </w:t>
      </w:r>
      <w:r w:rsidR="00CB514E">
        <w:t>introduct</w:t>
      </w:r>
      <w:r w:rsidR="00761C40">
        <w:t>ory section</w:t>
      </w:r>
      <w:r>
        <w:t>.  Th</w:t>
      </w:r>
      <w:r w:rsidR="0057682F">
        <w:t>e text and the way it was set out effectively</w:t>
      </w:r>
      <w:r>
        <w:t xml:space="preserve"> acted as a definition even though it was not</w:t>
      </w:r>
      <w:r w:rsidR="00954D83">
        <w:t xml:space="preserve"> formally documented</w:t>
      </w:r>
      <w:r>
        <w:t xml:space="preserve"> as such.  </w:t>
      </w:r>
      <w:r w:rsidR="0057682F">
        <w:t>T</w:t>
      </w:r>
      <w:r>
        <w:t>he</w:t>
      </w:r>
      <w:r w:rsidR="007135A9">
        <w:t>se</w:t>
      </w:r>
      <w:r>
        <w:t xml:space="preserve"> definitions were, arguably, </w:t>
      </w:r>
      <w:r w:rsidR="00EB7E27">
        <w:t xml:space="preserve">far </w:t>
      </w:r>
      <w:r w:rsidR="007135A9">
        <w:t xml:space="preserve">too </w:t>
      </w:r>
      <w:r>
        <w:t xml:space="preserve">simplistic in that they </w:t>
      </w:r>
      <w:r w:rsidR="00954D83">
        <w:t xml:space="preserve">linked </w:t>
      </w:r>
      <w:r>
        <w:t>capability to just three factors</w:t>
      </w:r>
      <w:r w:rsidR="00954D83">
        <w:t>, namely</w:t>
      </w:r>
      <w:r w:rsidR="00EB7E27">
        <w:t>: t</w:t>
      </w:r>
      <w:r>
        <w:t xml:space="preserve">ype of </w:t>
      </w:r>
      <w:r w:rsidR="00EB7E27">
        <w:t>s</w:t>
      </w:r>
      <w:r>
        <w:t>ervice, traffic density and navigational hazards.</w:t>
      </w:r>
      <w:r w:rsidR="0057682F" w:rsidRPr="0057682F">
        <w:t xml:space="preserve"> </w:t>
      </w:r>
      <w:r w:rsidR="0057682F">
        <w:t xml:space="preserve"> </w:t>
      </w:r>
      <w:r w:rsidR="00EB7E27">
        <w:t>These definitions appeared i</w:t>
      </w:r>
      <w:r w:rsidR="0057682F">
        <w:t xml:space="preserve">n the </w:t>
      </w:r>
      <w:r w:rsidR="002A623F">
        <w:t xml:space="preserve">recommendation’s </w:t>
      </w:r>
      <w:r w:rsidR="0057682F">
        <w:t xml:space="preserve">introductory section </w:t>
      </w:r>
      <w:r w:rsidR="00EB7E27">
        <w:t xml:space="preserve">giving the impression that they related to all </w:t>
      </w:r>
      <w:r w:rsidR="002A623F">
        <w:t>equipment</w:t>
      </w:r>
      <w:r w:rsidR="00EB7E27">
        <w:t xml:space="preserve"> requirements</w:t>
      </w:r>
      <w:r w:rsidR="002A623F">
        <w:t>; this had the potential to cause</w:t>
      </w:r>
      <w:r w:rsidR="00EB7E27">
        <w:t xml:space="preserve"> </w:t>
      </w:r>
      <w:r w:rsidR="0057682F">
        <w:t>confusi</w:t>
      </w:r>
      <w:r w:rsidR="00EB7E27">
        <w:t>o</w:t>
      </w:r>
      <w:r w:rsidR="0057682F">
        <w:t xml:space="preserve">n as </w:t>
      </w:r>
      <w:r w:rsidR="00EB7E27">
        <w:t xml:space="preserve">they were only used in the </w:t>
      </w:r>
      <w:r w:rsidR="0057682F">
        <w:t>section</w:t>
      </w:r>
      <w:r w:rsidR="00EB7E27">
        <w:t xml:space="preserve"> relating to radar.</w:t>
      </w:r>
    </w:p>
    <w:p w14:paraId="25E5B463" w14:textId="21685429" w:rsidR="007135A9" w:rsidRDefault="00855FFF" w:rsidP="00761C40">
      <w:pPr>
        <w:pStyle w:val="BodyText"/>
        <w:spacing w:after="0"/>
        <w:jc w:val="left"/>
      </w:pPr>
      <w:r>
        <w:t>The new version (</w:t>
      </w:r>
      <w:r w:rsidR="00761C40">
        <w:t>Edition 4</w:t>
      </w:r>
      <w:r>
        <w:t>)</w:t>
      </w:r>
      <w:r w:rsidR="00761C40">
        <w:t xml:space="preserve"> of V-128 appropriately relegates </w:t>
      </w:r>
      <w:r>
        <w:t>detailed guidance of performance requirements to a guideline,</w:t>
      </w:r>
      <w:r w:rsidR="00761C40">
        <w:t xml:space="preserve"> Guideline 1111</w:t>
      </w:r>
      <w:r>
        <w:t xml:space="preserve"> [1]</w:t>
      </w:r>
      <w:r w:rsidR="00761C40">
        <w:t>.</w:t>
      </w:r>
      <w:r w:rsidR="0057682F">
        <w:t xml:space="preserve">  This g</w:t>
      </w:r>
      <w:r w:rsidR="00954D83">
        <w:t xml:space="preserve">uideline introduces the </w:t>
      </w:r>
      <w:r w:rsidR="0057682F">
        <w:t>important</w:t>
      </w:r>
      <w:r w:rsidR="00954D83">
        <w:t xml:space="preserve"> link between the development of operational requirement</w:t>
      </w:r>
      <w:r w:rsidR="004741CF">
        <w:t>s</w:t>
      </w:r>
      <w:r w:rsidR="00954D83">
        <w:t xml:space="preserve"> in the </w:t>
      </w:r>
      <w:r w:rsidR="0057682F">
        <w:t>n</w:t>
      </w:r>
      <w:r w:rsidR="004741CF">
        <w:t>e</w:t>
      </w:r>
      <w:r w:rsidR="00954D83">
        <w:t xml:space="preserve">eds </w:t>
      </w:r>
      <w:r w:rsidR="0057682F">
        <w:t>a</w:t>
      </w:r>
      <w:r w:rsidR="00954D83">
        <w:t xml:space="preserve">nalysis process of IALA Recommendation V-119 </w:t>
      </w:r>
      <w:r w:rsidR="00C110AC">
        <w:t xml:space="preserve">[3] </w:t>
      </w:r>
      <w:r w:rsidR="004741CF">
        <w:t xml:space="preserve">and </w:t>
      </w:r>
      <w:r w:rsidR="0057682F">
        <w:t>the t</w:t>
      </w:r>
      <w:r w:rsidR="004741CF">
        <w:t xml:space="preserve">echnical </w:t>
      </w:r>
      <w:r w:rsidR="0057682F">
        <w:t>r</w:t>
      </w:r>
      <w:r w:rsidR="004741CF">
        <w:t xml:space="preserve">equirements </w:t>
      </w:r>
      <w:r w:rsidR="0057682F">
        <w:t>set out in this new g</w:t>
      </w:r>
      <w:r w:rsidR="004741CF">
        <w:t xml:space="preserve">uideline; </w:t>
      </w:r>
      <w:r w:rsidR="0057682F">
        <w:t>something that was missing from the earlier version of</w:t>
      </w:r>
      <w:r w:rsidR="004741CF">
        <w:t xml:space="preserve"> V-128 (Ed 3). </w:t>
      </w:r>
      <w:r w:rsidR="007135A9">
        <w:t xml:space="preserve"> </w:t>
      </w:r>
      <w:r w:rsidR="004741CF">
        <w:t xml:space="preserve">V-119, in turn, cross-references to Risk </w:t>
      </w:r>
      <w:r w:rsidR="004741CF">
        <w:lastRenderedPageBreak/>
        <w:t xml:space="preserve">Assessment processes.  </w:t>
      </w:r>
      <w:r w:rsidR="007135A9">
        <w:t>T</w:t>
      </w:r>
      <w:r w:rsidR="004741CF">
        <w:t>h</w:t>
      </w:r>
      <w:r w:rsidR="00EB7E27">
        <w:t>ese</w:t>
      </w:r>
      <w:r w:rsidR="004741CF">
        <w:t xml:space="preserve"> link</w:t>
      </w:r>
      <w:r w:rsidR="00EB7E27">
        <w:t xml:space="preserve">s provide a necessary and </w:t>
      </w:r>
      <w:r w:rsidR="002A623F">
        <w:t>welcome improvement</w:t>
      </w:r>
      <w:r w:rsidR="00EB7E27">
        <w:t>,</w:t>
      </w:r>
      <w:r w:rsidR="007135A9">
        <w:t xml:space="preserve"> although it is suggested </w:t>
      </w:r>
      <w:r w:rsidR="004741CF">
        <w:t xml:space="preserve">that </w:t>
      </w:r>
      <w:r w:rsidR="00EB7E27">
        <w:t>the wording</w:t>
      </w:r>
      <w:r w:rsidR="004741CF">
        <w:t xml:space="preserve"> could be strengthened further and that </w:t>
      </w:r>
      <w:r w:rsidR="00EB7E27">
        <w:t xml:space="preserve">the </w:t>
      </w:r>
      <w:r w:rsidR="007135A9">
        <w:t xml:space="preserve">bullet point </w:t>
      </w:r>
      <w:r w:rsidR="004741CF">
        <w:t>list of considerations</w:t>
      </w:r>
      <w:r w:rsidR="007135A9">
        <w:t xml:space="preserve"> that follow</w:t>
      </w:r>
      <w:r w:rsidR="004741CF">
        <w:t xml:space="preserve"> should not be presented as</w:t>
      </w:r>
      <w:r w:rsidR="007135A9">
        <w:t xml:space="preserve"> an</w:t>
      </w:r>
      <w:r w:rsidR="004741CF">
        <w:t xml:space="preserve"> exhaustive</w:t>
      </w:r>
      <w:r w:rsidR="007135A9">
        <w:t xml:space="preserve"> one.  </w:t>
      </w:r>
      <w:r w:rsidR="00EB7E27">
        <w:t>M</w:t>
      </w:r>
      <w:r w:rsidR="007135A9">
        <w:t>inor amendment</w:t>
      </w:r>
      <w:r w:rsidR="00EB7E27">
        <w:t>s</w:t>
      </w:r>
      <w:r w:rsidR="007135A9">
        <w:t xml:space="preserve"> to correct this </w:t>
      </w:r>
      <w:r w:rsidR="00C55DC4">
        <w:t>are</w:t>
      </w:r>
      <w:r w:rsidR="007135A9">
        <w:t xml:space="preserve"> proposed at annex A</w:t>
      </w:r>
    </w:p>
    <w:p w14:paraId="30845943" w14:textId="77777777" w:rsidR="007135A9" w:rsidRDefault="007135A9" w:rsidP="00761C40">
      <w:pPr>
        <w:pStyle w:val="BodyText"/>
        <w:spacing w:after="0"/>
        <w:jc w:val="left"/>
      </w:pPr>
    </w:p>
    <w:p w14:paraId="53B5AD52" w14:textId="235EC6B0" w:rsidR="002A623F" w:rsidRDefault="004741CF" w:rsidP="00761C40">
      <w:pPr>
        <w:pStyle w:val="BodyText"/>
        <w:spacing w:after="0"/>
        <w:jc w:val="left"/>
      </w:pPr>
      <w:r>
        <w:t xml:space="preserve"> </w:t>
      </w:r>
      <w:r w:rsidR="007135A9">
        <w:t xml:space="preserve">Of much greater concern is the perpetuation of the confusion caused by attempting to define capability levels, Basic, Standard and Advanced, in </w:t>
      </w:r>
      <w:r w:rsidR="00E714B5">
        <w:t>sub-section 1.2.1</w:t>
      </w:r>
      <w:r w:rsidR="007135A9">
        <w:t xml:space="preserve"> </w:t>
      </w:r>
      <w:r w:rsidR="002A623F">
        <w:t xml:space="preserve">which firmly identifies them as </w:t>
      </w:r>
      <w:r w:rsidR="007135A9">
        <w:t>“Definitions”</w:t>
      </w:r>
      <w:r w:rsidR="00E714B5">
        <w:t xml:space="preserve">. </w:t>
      </w:r>
      <w:r w:rsidR="00EB7E27">
        <w:t xml:space="preserve">The simplistic </w:t>
      </w:r>
      <w:r w:rsidR="007135A9">
        <w:t>definitions</w:t>
      </w:r>
      <w:r w:rsidR="00EB7E27">
        <w:t xml:space="preserve"> of the previous document</w:t>
      </w:r>
      <w:r w:rsidR="007135A9">
        <w:t xml:space="preserve"> </w:t>
      </w:r>
      <w:r w:rsidR="00EB7E27">
        <w:t>have been reworded but the</w:t>
      </w:r>
      <w:r w:rsidR="002A623F">
        <w:t xml:space="preserve"> new text is</w:t>
      </w:r>
      <w:r w:rsidR="00EB7E27">
        <w:t xml:space="preserve"> no</w:t>
      </w:r>
      <w:r w:rsidR="00E714B5">
        <w:t>w more in the form of processes, duplicat</w:t>
      </w:r>
      <w:r w:rsidR="002A623F">
        <w:t>ing</w:t>
      </w:r>
      <w:r w:rsidR="00EB7E27">
        <w:t xml:space="preserve"> the </w:t>
      </w:r>
      <w:r w:rsidR="002A623F">
        <w:t>N</w:t>
      </w:r>
      <w:r w:rsidR="00EB7E27">
        <w:t xml:space="preserve">eeds </w:t>
      </w:r>
      <w:r w:rsidR="002A623F">
        <w:t>A</w:t>
      </w:r>
      <w:r w:rsidR="00EB7E27">
        <w:t>nalysis process</w:t>
      </w:r>
      <w:r w:rsidR="00C110AC">
        <w:t>es</w:t>
      </w:r>
      <w:r w:rsidR="00EB7E27">
        <w:t xml:space="preserve"> that </w:t>
      </w:r>
      <w:r w:rsidR="00C110AC">
        <w:t>are</w:t>
      </w:r>
      <w:r w:rsidR="00EB7E27">
        <w:t xml:space="preserve"> much better described </w:t>
      </w:r>
      <w:r w:rsidR="002A623F">
        <w:t xml:space="preserve">in </w:t>
      </w:r>
      <w:r w:rsidR="00BD4AA8">
        <w:t>their broader applicability</w:t>
      </w:r>
      <w:r w:rsidR="002A623F">
        <w:t xml:space="preserve"> </w:t>
      </w:r>
      <w:r w:rsidR="00EB7E27">
        <w:t>in section 1.3 that follows.</w:t>
      </w:r>
      <w:r w:rsidR="00E714B5">
        <w:t xml:space="preserve">  The current reference at the beginning of the document in the form of a definition gives these terms a prominence that is both unnecessary and misleading.  It is recommended that the final paragraph </w:t>
      </w:r>
      <w:r w:rsidR="00C110AC">
        <w:t>of sub-section 1.2.1</w:t>
      </w:r>
      <w:r w:rsidR="00BD4AA8">
        <w:t xml:space="preserve"> </w:t>
      </w:r>
      <w:r w:rsidR="00E714B5">
        <w:t xml:space="preserve">that attempts to define Basic, Standard and </w:t>
      </w:r>
      <w:proofErr w:type="gramStart"/>
      <w:r w:rsidR="00E714B5">
        <w:t>Advanced</w:t>
      </w:r>
      <w:proofErr w:type="gramEnd"/>
      <w:r w:rsidR="00E714B5">
        <w:t xml:space="preserve"> be deleted.  In </w:t>
      </w:r>
      <w:r w:rsidR="002A623F">
        <w:t>its place</w:t>
      </w:r>
      <w:r w:rsidR="00E714B5">
        <w:t xml:space="preserve">, an explanation </w:t>
      </w:r>
      <w:r w:rsidR="002A623F">
        <w:t>of</w:t>
      </w:r>
      <w:r w:rsidR="00E714B5">
        <w:t xml:space="preserve"> the use of these </w:t>
      </w:r>
      <w:r w:rsidR="002A623F">
        <w:t xml:space="preserve">terms as table </w:t>
      </w:r>
      <w:r w:rsidR="00E714B5">
        <w:t>headings should be given in the introductory paragraphs of the radar section</w:t>
      </w:r>
      <w:r w:rsidR="00C110AC">
        <w:t xml:space="preserve"> where the reader will be better able to link them to the tables where they are used. </w:t>
      </w:r>
      <w:r w:rsidR="002A623F">
        <w:t xml:space="preserve"> Proposed amendments to achieve this with suggested text are at Annex A.  These changes should remove the </w:t>
      </w:r>
      <w:r w:rsidR="00C110AC">
        <w:t>potential for confusion that currently exists</w:t>
      </w:r>
      <w:r w:rsidR="002A623F">
        <w:t>.</w:t>
      </w:r>
    </w:p>
    <w:p w14:paraId="0A04805C" w14:textId="77777777" w:rsidR="00365254" w:rsidRDefault="00365254" w:rsidP="00761C40">
      <w:pPr>
        <w:pStyle w:val="BodyText"/>
        <w:spacing w:after="0"/>
        <w:jc w:val="left"/>
      </w:pPr>
    </w:p>
    <w:p w14:paraId="69BD0D9B" w14:textId="4FA766A9" w:rsidR="00365254" w:rsidRDefault="00365254" w:rsidP="00761C40">
      <w:pPr>
        <w:pStyle w:val="BodyText"/>
        <w:spacing w:after="0"/>
        <w:jc w:val="left"/>
      </w:pPr>
      <w:r>
        <w:t xml:space="preserve">It is noted that the old definitions for these capability levels are contained in IALA Guideline 1056 [4], at its section 4 where it also has an out-of-date reference to the old version of V-128.  A similar amendment may be </w:t>
      </w:r>
      <w:proofErr w:type="gramStart"/>
      <w:r>
        <w:t>considered,</w:t>
      </w:r>
      <w:proofErr w:type="gramEnd"/>
      <w:r>
        <w:t xml:space="preserve"> however, the new Guideline 1111 now duplicates so much of the older Guideline 1056 that the committee may consider it more appropriate to withdraw the older guideline as superseded.    </w:t>
      </w:r>
    </w:p>
    <w:p w14:paraId="7250B3A2" w14:textId="259C6CE7" w:rsidR="00F25BF4" w:rsidRDefault="00F25BF4" w:rsidP="00761C40">
      <w:pPr>
        <w:pStyle w:val="BodyText"/>
        <w:jc w:val="left"/>
      </w:pPr>
    </w:p>
    <w:p w14:paraId="1D083D92" w14:textId="77777777" w:rsidR="00180DDA" w:rsidRDefault="00180DDA" w:rsidP="00761C40">
      <w:pPr>
        <w:pStyle w:val="Heading1"/>
      </w:pPr>
      <w:r>
        <w:t>References</w:t>
      </w:r>
    </w:p>
    <w:p w14:paraId="602EDD48" w14:textId="0A05D0F4" w:rsidR="00180DDA" w:rsidRDefault="00C110AC" w:rsidP="00761C40">
      <w:pPr>
        <w:pStyle w:val="References"/>
      </w:pPr>
      <w:r>
        <w:t>V-128 on Operational and Technical Performance of VTS Systems Ed 4 May 2015</w:t>
      </w:r>
    </w:p>
    <w:p w14:paraId="53A73780" w14:textId="5A06CC67" w:rsidR="00C110AC" w:rsidRDefault="00C110AC" w:rsidP="00761C40">
      <w:pPr>
        <w:pStyle w:val="References"/>
      </w:pPr>
      <w:r>
        <w:t xml:space="preserve">IALA Guideline 1111 </w:t>
      </w:r>
      <w:r w:rsidRPr="00D36250">
        <w:t>- Preparation of Operational and Technical Performance Requirements for VTS Systems Ed 1 May 2015</w:t>
      </w:r>
    </w:p>
    <w:p w14:paraId="00EC0BCC" w14:textId="128B3E2D" w:rsidR="00180DDA" w:rsidRDefault="00C110AC" w:rsidP="00C110AC">
      <w:pPr>
        <w:pStyle w:val="References"/>
        <w:rPr>
          <w:lang w:eastAsia="de-DE"/>
        </w:rPr>
      </w:pPr>
      <w:r w:rsidRPr="00C110AC">
        <w:rPr>
          <w:lang w:eastAsia="de-DE"/>
        </w:rPr>
        <w:t>V 119 - Implementation of V</w:t>
      </w:r>
      <w:r>
        <w:rPr>
          <w:lang w:eastAsia="de-DE"/>
        </w:rPr>
        <w:t xml:space="preserve">essel </w:t>
      </w:r>
      <w:r w:rsidRPr="00C110AC">
        <w:rPr>
          <w:lang w:eastAsia="de-DE"/>
        </w:rPr>
        <w:t>T</w:t>
      </w:r>
      <w:r>
        <w:rPr>
          <w:lang w:eastAsia="de-DE"/>
        </w:rPr>
        <w:t xml:space="preserve">raffic </w:t>
      </w:r>
      <w:r w:rsidRPr="00C110AC">
        <w:rPr>
          <w:lang w:eastAsia="de-DE"/>
        </w:rPr>
        <w:t>S</w:t>
      </w:r>
      <w:r>
        <w:rPr>
          <w:lang w:eastAsia="de-DE"/>
        </w:rPr>
        <w:t>ervices</w:t>
      </w:r>
      <w:r w:rsidRPr="00C110AC">
        <w:rPr>
          <w:lang w:eastAsia="de-DE"/>
        </w:rPr>
        <w:t xml:space="preserve"> Ed 2 Dec 2009</w:t>
      </w:r>
    </w:p>
    <w:p w14:paraId="6F53FD26" w14:textId="45C6496F" w:rsidR="00365254" w:rsidRPr="00180DDA" w:rsidRDefault="00365254" w:rsidP="00C110AC">
      <w:pPr>
        <w:pStyle w:val="References"/>
        <w:rPr>
          <w:lang w:eastAsia="de-DE"/>
        </w:rPr>
      </w:pPr>
      <w:r>
        <w:rPr>
          <w:lang w:eastAsia="de-DE"/>
        </w:rPr>
        <w:t>IALA Guideline 1056 – Establishment of VTS Radar Services Ed 1 June 2007</w:t>
      </w:r>
    </w:p>
    <w:p w14:paraId="7A8D2F27" w14:textId="77777777" w:rsidR="00A446C9" w:rsidRDefault="00A446C9" w:rsidP="00761C40">
      <w:pPr>
        <w:pStyle w:val="Heading1"/>
      </w:pPr>
      <w:r>
        <w:t>Action requested of the Committee</w:t>
      </w:r>
    </w:p>
    <w:p w14:paraId="1556E528" w14:textId="34E63CB6" w:rsidR="00F25BF4" w:rsidRDefault="00F25BF4" w:rsidP="00761C40">
      <w:pPr>
        <w:pStyle w:val="BodyText"/>
        <w:jc w:val="left"/>
      </w:pPr>
      <w:r>
        <w:t>The Committee is requested to:</w:t>
      </w:r>
    </w:p>
    <w:p w14:paraId="7A9FD49F" w14:textId="12578E9F" w:rsidR="00F25BF4" w:rsidRDefault="00BD4AA8" w:rsidP="00BD4AA8">
      <w:pPr>
        <w:pStyle w:val="List1"/>
        <w:numPr>
          <w:ilvl w:val="0"/>
          <w:numId w:val="39"/>
        </w:numPr>
        <w:jc w:val="left"/>
      </w:pPr>
      <w:r>
        <w:t>Consider the proposed minor amendments to IALA Guideline 1111 and, if agreed, forward an amended version of the Guideline to Council for approval.</w:t>
      </w:r>
    </w:p>
    <w:p w14:paraId="748FF6C1" w14:textId="2E66A6D8" w:rsidR="00365254" w:rsidRPr="00597FAE" w:rsidRDefault="00365254" w:rsidP="00BD4AA8">
      <w:pPr>
        <w:pStyle w:val="List1"/>
        <w:numPr>
          <w:ilvl w:val="0"/>
          <w:numId w:val="39"/>
        </w:numPr>
        <w:jc w:val="left"/>
      </w:pPr>
      <w:r>
        <w:t xml:space="preserve">Consider whether a revision to the capability level definitions in </w:t>
      </w:r>
      <w:r w:rsidR="00041B08">
        <w:t xml:space="preserve">Guideline 1056 is necessary or to recommend to </w:t>
      </w:r>
      <w:r w:rsidR="00C55DC4">
        <w:t>council that</w:t>
      </w:r>
      <w:r w:rsidR="00041B08">
        <w:t xml:space="preserve"> this guideline be withdrawn as superseded by Guideline 1111.</w:t>
      </w:r>
    </w:p>
    <w:p w14:paraId="60ACBEC9" w14:textId="77777777" w:rsidR="004D1D85" w:rsidRDefault="004D1D85" w:rsidP="00761C40">
      <w:pPr>
        <w:pStyle w:val="List1"/>
        <w:numPr>
          <w:ilvl w:val="0"/>
          <w:numId w:val="0"/>
        </w:numPr>
        <w:ind w:left="567" w:hanging="567"/>
        <w:jc w:val="left"/>
      </w:pPr>
    </w:p>
    <w:p w14:paraId="5E201BEE" w14:textId="77777777" w:rsidR="004D1D85" w:rsidRDefault="004D1D85" w:rsidP="00761C40">
      <w:pPr>
        <w:pStyle w:val="List1"/>
        <w:numPr>
          <w:ilvl w:val="0"/>
          <w:numId w:val="0"/>
        </w:numPr>
        <w:ind w:left="567" w:hanging="567"/>
        <w:jc w:val="left"/>
      </w:pPr>
    </w:p>
    <w:p w14:paraId="10DC5D6B" w14:textId="77777777" w:rsidR="004D1D85" w:rsidRDefault="004D1D85" w:rsidP="00761C40">
      <w:pPr>
        <w:pStyle w:val="Annex"/>
        <w:jc w:val="left"/>
        <w:sectPr w:rsidR="004D1D85" w:rsidSect="00874E11">
          <w:footerReference w:type="default" r:id="rId10"/>
          <w:pgSz w:w="11906" w:h="16838"/>
          <w:pgMar w:top="531" w:right="991" w:bottom="1134" w:left="1134" w:header="284" w:footer="709" w:gutter="0"/>
          <w:cols w:space="708"/>
          <w:docGrid w:linePitch="360"/>
        </w:sectPr>
      </w:pPr>
    </w:p>
    <w:p w14:paraId="1BF5610A" w14:textId="717D1D8C" w:rsidR="00FC0EFD" w:rsidRDefault="00F842F3" w:rsidP="00FC0EFD">
      <w:pPr>
        <w:pStyle w:val="Annex"/>
        <w:jc w:val="left"/>
        <w:rPr>
          <w:b w:val="0"/>
        </w:rPr>
      </w:pPr>
      <w:r>
        <w:lastRenderedPageBreak/>
        <w:t>P</w:t>
      </w:r>
      <w:r>
        <w:rPr>
          <w:rFonts w:ascii="Arial Bold" w:hAnsi="Arial Bold"/>
          <w:caps w:val="0"/>
        </w:rPr>
        <w:t>roposed Amendments to Guideline 1111</w:t>
      </w:r>
    </w:p>
    <w:p w14:paraId="4D444F7A" w14:textId="1A2570D8" w:rsidR="004D1D85" w:rsidRPr="00FC0EFD" w:rsidRDefault="00FC0EFD" w:rsidP="00761C40">
      <w:pPr>
        <w:pStyle w:val="AnnexHeading2"/>
        <w:rPr>
          <w:b w:val="0"/>
        </w:rPr>
      </w:pPr>
      <w:r>
        <w:rPr>
          <w:b w:val="0"/>
        </w:rPr>
        <w:t>The following amendments to IALA Guideline 1111 are proposed:</w:t>
      </w:r>
    </w:p>
    <w:p w14:paraId="5FF80F9D" w14:textId="487C19F5" w:rsidR="004D1D85" w:rsidRDefault="003C0C8A" w:rsidP="00342FA0">
      <w:pPr>
        <w:pStyle w:val="AnnexHeading3"/>
        <w:tabs>
          <w:tab w:val="clear" w:pos="992"/>
          <w:tab w:val="num" w:pos="851"/>
        </w:tabs>
        <w:ind w:left="851" w:hanging="851"/>
      </w:pPr>
      <w:r>
        <w:t>S</w:t>
      </w:r>
      <w:r w:rsidR="00FC0EFD">
        <w:t xml:space="preserve">ection 1.3 and subsection 1.3.1 </w:t>
      </w:r>
      <w:r>
        <w:t>amend text as shown in</w:t>
      </w:r>
      <w:r w:rsidR="00342FA0">
        <w:t xml:space="preserve"> red</w:t>
      </w:r>
      <w:r w:rsidR="00FC0EFD">
        <w:t xml:space="preserve"> below</w:t>
      </w:r>
      <w:r>
        <w:t>.  Rationale</w:t>
      </w:r>
      <w:r w:rsidR="00FC0EFD">
        <w:t>:</w:t>
      </w:r>
      <w:r>
        <w:t xml:space="preserve"> to enhance cross-reference to V-119 in introductory paragraphs and to ensure that the bullets under sub-paragraph 1.3.1 “Operational Requirements</w:t>
      </w:r>
      <w:r w:rsidR="00FD4ECF">
        <w:t>”</w:t>
      </w:r>
      <w:r>
        <w:t xml:space="preserve"> are not seen to be all-inclusive</w:t>
      </w:r>
      <w:r w:rsidR="00FD4ECF">
        <w:t>, thus</w:t>
      </w:r>
      <w:r>
        <w:t xml:space="preserve"> requiring reference back to V-119</w:t>
      </w:r>
      <w:r w:rsidR="00FD4ECF">
        <w:t>.</w:t>
      </w:r>
    </w:p>
    <w:p w14:paraId="069217B8" w14:textId="1BDA5075" w:rsidR="00027EC2" w:rsidRDefault="00027EC2" w:rsidP="003C0C8A">
      <w:pPr>
        <w:pStyle w:val="Heading2"/>
        <w:widowControl w:val="0"/>
        <w:numPr>
          <w:ilvl w:val="1"/>
          <w:numId w:val="46"/>
        </w:numPr>
        <w:tabs>
          <w:tab w:val="left" w:pos="965"/>
        </w:tabs>
        <w:spacing w:before="71" w:after="0"/>
        <w:ind w:left="1570" w:hanging="850"/>
        <w:jc w:val="both"/>
        <w:rPr>
          <w:b w:val="0"/>
          <w:bCs/>
        </w:rPr>
      </w:pPr>
      <w:bookmarkStart w:id="1" w:name="_TOC_250072"/>
      <w:r>
        <w:t>Establishing the Requirements for a VTS</w:t>
      </w:r>
      <w:r>
        <w:rPr>
          <w:spacing w:val="-10"/>
        </w:rPr>
        <w:t xml:space="preserve"> </w:t>
      </w:r>
      <w:r>
        <w:t>System</w:t>
      </w:r>
      <w:bookmarkEnd w:id="1"/>
    </w:p>
    <w:p w14:paraId="2DA4A07F" w14:textId="77777777" w:rsidR="00027EC2" w:rsidRDefault="00027EC2" w:rsidP="00342FA0">
      <w:pPr>
        <w:pStyle w:val="BodyText"/>
        <w:spacing w:before="119"/>
        <w:ind w:left="709" w:right="110"/>
      </w:pPr>
      <w:r>
        <w:t>The</w:t>
      </w:r>
      <w:r>
        <w:rPr>
          <w:spacing w:val="-6"/>
        </w:rPr>
        <w:t xml:space="preserve"> </w:t>
      </w:r>
      <w:r>
        <w:t>Operational</w:t>
      </w:r>
      <w:r>
        <w:rPr>
          <w:spacing w:val="-6"/>
        </w:rPr>
        <w:t xml:space="preserve"> </w:t>
      </w:r>
      <w:r>
        <w:t>requirements</w:t>
      </w:r>
      <w:r>
        <w:rPr>
          <w:spacing w:val="-6"/>
        </w:rPr>
        <w:t xml:space="preserve"> </w:t>
      </w:r>
      <w:r>
        <w:t>should</w:t>
      </w:r>
      <w:r>
        <w:rPr>
          <w:spacing w:val="-6"/>
        </w:rPr>
        <w:t xml:space="preserve"> </w:t>
      </w:r>
      <w:r>
        <w:t>form</w:t>
      </w:r>
      <w:r>
        <w:rPr>
          <w:spacing w:val="-6"/>
        </w:rPr>
        <w:t xml:space="preserve"> </w:t>
      </w:r>
      <w:r>
        <w:t>the</w:t>
      </w:r>
      <w:r>
        <w:rPr>
          <w:spacing w:val="-6"/>
        </w:rPr>
        <w:t xml:space="preserve"> </w:t>
      </w:r>
      <w:r>
        <w:t>basis</w:t>
      </w:r>
      <w:r>
        <w:rPr>
          <w:spacing w:val="-6"/>
        </w:rPr>
        <w:t xml:space="preserve"> </w:t>
      </w:r>
      <w:r>
        <w:t>for</w:t>
      </w:r>
      <w:r>
        <w:rPr>
          <w:spacing w:val="-6"/>
        </w:rPr>
        <w:t xml:space="preserve"> </w:t>
      </w:r>
      <w:r>
        <w:t>the</w:t>
      </w:r>
      <w:r>
        <w:rPr>
          <w:spacing w:val="-7"/>
        </w:rPr>
        <w:t xml:space="preserve"> </w:t>
      </w:r>
      <w:r>
        <w:t>entire</w:t>
      </w:r>
      <w:r>
        <w:rPr>
          <w:spacing w:val="-6"/>
        </w:rPr>
        <w:t xml:space="preserve"> </w:t>
      </w:r>
      <w:r>
        <w:t>system</w:t>
      </w:r>
      <w:r>
        <w:rPr>
          <w:spacing w:val="-6"/>
        </w:rPr>
        <w:t xml:space="preserve"> </w:t>
      </w:r>
      <w:r>
        <w:t>lifecycle,</w:t>
      </w:r>
      <w:r>
        <w:rPr>
          <w:spacing w:val="-6"/>
        </w:rPr>
        <w:t xml:space="preserve"> </w:t>
      </w:r>
      <w:r>
        <w:t>its</w:t>
      </w:r>
      <w:r>
        <w:rPr>
          <w:spacing w:val="-6"/>
        </w:rPr>
        <w:t xml:space="preserve"> </w:t>
      </w:r>
      <w:r>
        <w:t>definition</w:t>
      </w:r>
      <w:r>
        <w:rPr>
          <w:spacing w:val="-7"/>
        </w:rPr>
        <w:t xml:space="preserve"> </w:t>
      </w:r>
      <w:r>
        <w:t>and its verification and validation following</w:t>
      </w:r>
      <w:r>
        <w:rPr>
          <w:spacing w:val="-12"/>
        </w:rPr>
        <w:t xml:space="preserve"> </w:t>
      </w:r>
      <w:r>
        <w:t>implementation.</w:t>
      </w:r>
    </w:p>
    <w:p w14:paraId="1FADF9E3" w14:textId="37D1930F" w:rsidR="00027EC2" w:rsidRPr="00BD4AA8" w:rsidRDefault="00027EC2" w:rsidP="00342FA0">
      <w:pPr>
        <w:pStyle w:val="BodyText"/>
        <w:spacing w:before="119"/>
        <w:ind w:left="709" w:right="109"/>
        <w:rPr>
          <w:color w:val="FF0000"/>
        </w:rPr>
      </w:pPr>
      <w:r w:rsidRPr="00BD4AA8">
        <w:rPr>
          <w:color w:val="FF0000"/>
        </w:rPr>
        <w:t xml:space="preserve">Detailed guidance on the development of the </w:t>
      </w:r>
      <w:r>
        <w:t xml:space="preserve">Operational requirements </w:t>
      </w:r>
      <w:r w:rsidRPr="00BD4AA8">
        <w:rPr>
          <w:color w:val="FF0000"/>
        </w:rPr>
        <w:t xml:space="preserve">may be found </w:t>
      </w:r>
      <w:r>
        <w:t xml:space="preserve">in </w:t>
      </w:r>
      <w:r w:rsidRPr="00BD4AA8">
        <w:rPr>
          <w:color w:val="FF0000"/>
        </w:rPr>
        <w:t xml:space="preserve">IALA Recommendation </w:t>
      </w:r>
      <w:r>
        <w:t xml:space="preserve">V119 [5] (Implementation of Vessel Traffic Services) </w:t>
      </w:r>
      <w:r w:rsidRPr="00BD4AA8">
        <w:rPr>
          <w:color w:val="FF0000"/>
        </w:rPr>
        <w:t>which describes how</w:t>
      </w:r>
      <w:r>
        <w:t xml:space="preserve"> these are used to derive the technical</w:t>
      </w:r>
      <w:r>
        <w:rPr>
          <w:spacing w:val="-17"/>
        </w:rPr>
        <w:t xml:space="preserve"> </w:t>
      </w:r>
      <w:r>
        <w:t xml:space="preserve">requirements </w:t>
      </w:r>
      <w:r w:rsidRPr="00BD4AA8">
        <w:rPr>
          <w:color w:val="FF0000"/>
        </w:rPr>
        <w:t>as part of the needs analysis process.</w:t>
      </w:r>
    </w:p>
    <w:p w14:paraId="70583375" w14:textId="77777777" w:rsidR="00027EC2" w:rsidRDefault="00027EC2" w:rsidP="003C0C8A">
      <w:pPr>
        <w:pStyle w:val="BodyText"/>
        <w:tabs>
          <w:tab w:val="left" w:pos="1672"/>
        </w:tabs>
        <w:ind w:left="1286" w:right="155"/>
      </w:pPr>
      <w:r>
        <w:rPr>
          <w:w w:val="95"/>
        </w:rPr>
        <w:t>1.3.1</w:t>
      </w:r>
      <w:r>
        <w:rPr>
          <w:w w:val="95"/>
        </w:rPr>
        <w:tab/>
      </w:r>
      <w:r>
        <w:t>Operational</w:t>
      </w:r>
      <w:r>
        <w:rPr>
          <w:spacing w:val="-4"/>
        </w:rPr>
        <w:t xml:space="preserve"> </w:t>
      </w:r>
      <w:r>
        <w:t>Requirements</w:t>
      </w:r>
    </w:p>
    <w:p w14:paraId="02BAFFFA" w14:textId="7E03659C" w:rsidR="00027EC2" w:rsidRDefault="00027EC2" w:rsidP="003C0C8A">
      <w:pPr>
        <w:pStyle w:val="BodyText"/>
        <w:ind w:left="720" w:right="109"/>
      </w:pPr>
      <w:r>
        <w:t>The operational requirements needed to derive the system concept and technical requirements should</w:t>
      </w:r>
      <w:r>
        <w:rPr>
          <w:spacing w:val="-5"/>
        </w:rPr>
        <w:t xml:space="preserve"> </w:t>
      </w:r>
      <w:r w:rsidRPr="00BD4AA8">
        <w:rPr>
          <w:color w:val="FF0000"/>
        </w:rPr>
        <w:t>include</w:t>
      </w:r>
      <w:r>
        <w:t>:</w:t>
      </w:r>
    </w:p>
    <w:p w14:paraId="5AFABFA8" w14:textId="77777777" w:rsidR="00027EC2" w:rsidRDefault="00027EC2" w:rsidP="003C0C8A">
      <w:pPr>
        <w:pStyle w:val="ListParagraph"/>
        <w:widowControl w:val="0"/>
        <w:numPr>
          <w:ilvl w:val="2"/>
          <w:numId w:val="46"/>
        </w:numPr>
        <w:tabs>
          <w:tab w:val="left" w:pos="835"/>
        </w:tabs>
        <w:spacing w:before="119"/>
        <w:ind w:left="1440" w:hanging="360"/>
        <w:contextualSpacing w:val="0"/>
        <w:rPr>
          <w:rFonts w:eastAsia="Arial" w:cs="Arial"/>
        </w:rPr>
      </w:pPr>
      <w:r>
        <w:t>Delineating the VTS area and, if appropriate, VTS sub-areas or</w:t>
      </w:r>
      <w:r>
        <w:rPr>
          <w:spacing w:val="-16"/>
        </w:rPr>
        <w:t xml:space="preserve"> </w:t>
      </w:r>
      <w:r>
        <w:t>sectors;</w:t>
      </w:r>
    </w:p>
    <w:p w14:paraId="6F5B692A" w14:textId="0F19624F" w:rsidR="00FC0EFD" w:rsidRDefault="00FC0EFD" w:rsidP="003C0C8A">
      <w:pPr>
        <w:pStyle w:val="ListParagraph"/>
        <w:widowControl w:val="0"/>
        <w:numPr>
          <w:ilvl w:val="2"/>
          <w:numId w:val="46"/>
        </w:numPr>
        <w:tabs>
          <w:tab w:val="left" w:pos="835"/>
        </w:tabs>
        <w:spacing w:before="118"/>
        <w:ind w:left="1440" w:hanging="360"/>
        <w:contextualSpacing w:val="0"/>
        <w:rPr>
          <w:rFonts w:eastAsia="Arial" w:cs="Arial"/>
        </w:rPr>
      </w:pPr>
      <w:r>
        <w:t>…………</w:t>
      </w:r>
      <w:proofErr w:type="spellStart"/>
      <w:r w:rsidR="003C0C8A">
        <w:t>etc</w:t>
      </w:r>
      <w:proofErr w:type="spellEnd"/>
    </w:p>
    <w:p w14:paraId="6CB069D1" w14:textId="77777777" w:rsidR="00FC0EFD" w:rsidRDefault="00FC0EFD" w:rsidP="00FC0EFD">
      <w:pPr>
        <w:pStyle w:val="ListParagraph"/>
        <w:widowControl w:val="0"/>
        <w:tabs>
          <w:tab w:val="left" w:pos="835"/>
        </w:tabs>
        <w:spacing w:before="118"/>
        <w:ind w:left="0"/>
        <w:contextualSpacing w:val="0"/>
        <w:rPr>
          <w:rFonts w:eastAsia="Arial" w:cs="Arial"/>
        </w:rPr>
      </w:pPr>
    </w:p>
    <w:p w14:paraId="7FDA226A" w14:textId="16D31528" w:rsidR="00342FA0" w:rsidRDefault="00FC0EFD" w:rsidP="00FC0EFD">
      <w:pPr>
        <w:pStyle w:val="ListParagraph"/>
        <w:widowControl w:val="0"/>
        <w:tabs>
          <w:tab w:val="left" w:pos="835"/>
        </w:tabs>
        <w:spacing w:before="118"/>
        <w:ind w:left="0"/>
        <w:contextualSpacing w:val="0"/>
        <w:rPr>
          <w:rFonts w:eastAsia="Arial" w:cs="Arial"/>
        </w:rPr>
      </w:pPr>
      <w:r>
        <w:rPr>
          <w:rFonts w:eastAsia="Arial" w:cs="Arial"/>
        </w:rPr>
        <w:t>1.1.2.</w:t>
      </w:r>
      <w:r>
        <w:rPr>
          <w:rFonts w:eastAsia="Arial" w:cs="Arial"/>
        </w:rPr>
        <w:tab/>
      </w:r>
      <w:r w:rsidR="003C0C8A">
        <w:rPr>
          <w:rFonts w:eastAsia="Arial" w:cs="Arial"/>
        </w:rPr>
        <w:t>Section 1.2.1 “Definitions”: delete final paragraph</w:t>
      </w:r>
      <w:r w:rsidR="00F842F3">
        <w:rPr>
          <w:rFonts w:eastAsia="Arial" w:cs="Arial"/>
        </w:rPr>
        <w:t xml:space="preserve"> that reads</w:t>
      </w:r>
      <w:r w:rsidR="003C0C8A">
        <w:rPr>
          <w:rFonts w:eastAsia="Arial" w:cs="Arial"/>
        </w:rPr>
        <w:t xml:space="preserve"> “</w:t>
      </w:r>
      <w:r w:rsidR="003C0C8A" w:rsidRPr="00F842F3">
        <w:rPr>
          <w:rFonts w:eastAsia="Arial" w:cs="Arial"/>
          <w:i/>
        </w:rPr>
        <w:t>within this document, reference ………parts of the VTS area.</w:t>
      </w:r>
      <w:r w:rsidR="003C0C8A">
        <w:rPr>
          <w:rFonts w:eastAsia="Arial" w:cs="Arial"/>
        </w:rPr>
        <w:t xml:space="preserve">” </w:t>
      </w:r>
      <w:r w:rsidR="00F842F3">
        <w:rPr>
          <w:rFonts w:eastAsia="Arial" w:cs="Arial"/>
        </w:rPr>
        <w:t>i</w:t>
      </w:r>
      <w:r w:rsidR="003C0C8A">
        <w:rPr>
          <w:rFonts w:eastAsia="Arial" w:cs="Arial"/>
        </w:rPr>
        <w:t xml:space="preserve">n </w:t>
      </w:r>
      <w:proofErr w:type="spellStart"/>
      <w:r w:rsidR="003C0C8A">
        <w:rPr>
          <w:rFonts w:eastAsia="Arial" w:cs="Arial"/>
        </w:rPr>
        <w:t>toto</w:t>
      </w:r>
      <w:proofErr w:type="spellEnd"/>
      <w:r w:rsidR="003C0C8A">
        <w:rPr>
          <w:rFonts w:eastAsia="Arial" w:cs="Arial"/>
        </w:rPr>
        <w:t xml:space="preserve">.  Rationale: confusing reference that is not a definition and refers to processes that are </w:t>
      </w:r>
      <w:r w:rsidR="00342FA0">
        <w:rPr>
          <w:rFonts w:eastAsia="Arial" w:cs="Arial"/>
        </w:rPr>
        <w:t>not limited to capability levels and are better and more fully described in Section 1.3 that follows.</w:t>
      </w:r>
    </w:p>
    <w:p w14:paraId="254D6489" w14:textId="77777777" w:rsidR="00342FA0" w:rsidRDefault="00342FA0" w:rsidP="00FC0EFD">
      <w:pPr>
        <w:pStyle w:val="ListParagraph"/>
        <w:widowControl w:val="0"/>
        <w:tabs>
          <w:tab w:val="left" w:pos="835"/>
        </w:tabs>
        <w:spacing w:before="118"/>
        <w:ind w:left="0"/>
        <w:contextualSpacing w:val="0"/>
        <w:rPr>
          <w:rFonts w:eastAsia="Arial" w:cs="Arial"/>
        </w:rPr>
      </w:pPr>
    </w:p>
    <w:p w14:paraId="1AE04863" w14:textId="7508040A" w:rsidR="00F842F3" w:rsidRDefault="00342FA0" w:rsidP="00FC0EFD">
      <w:pPr>
        <w:pStyle w:val="ListParagraph"/>
        <w:widowControl w:val="0"/>
        <w:tabs>
          <w:tab w:val="left" w:pos="835"/>
        </w:tabs>
        <w:spacing w:before="118"/>
        <w:ind w:left="0"/>
        <w:contextualSpacing w:val="0"/>
        <w:rPr>
          <w:rFonts w:eastAsia="Arial" w:cs="Arial"/>
        </w:rPr>
      </w:pPr>
      <w:r>
        <w:rPr>
          <w:rFonts w:eastAsia="Arial" w:cs="Arial"/>
        </w:rPr>
        <w:t>1.1.3</w:t>
      </w:r>
      <w:r>
        <w:rPr>
          <w:rFonts w:eastAsia="Arial" w:cs="Arial"/>
        </w:rPr>
        <w:tab/>
      </w:r>
      <w:r w:rsidR="00F842F3">
        <w:rPr>
          <w:rFonts w:eastAsia="Arial" w:cs="Arial"/>
        </w:rPr>
        <w:t>Section 2.1 “</w:t>
      </w:r>
      <w:r>
        <w:rPr>
          <w:rFonts w:eastAsia="Arial" w:cs="Arial"/>
        </w:rPr>
        <w:t>Radar</w:t>
      </w:r>
      <w:r w:rsidR="00F842F3">
        <w:rPr>
          <w:rFonts w:eastAsia="Arial" w:cs="Arial"/>
        </w:rPr>
        <w:t>” Sub</w:t>
      </w:r>
      <w:r>
        <w:rPr>
          <w:rFonts w:eastAsia="Arial" w:cs="Arial"/>
        </w:rPr>
        <w:t xml:space="preserve"> Section 2.1 “Introduction”: add new third paragraph as in red text below</w:t>
      </w:r>
      <w:r w:rsidR="00F842F3">
        <w:rPr>
          <w:rFonts w:eastAsia="Arial" w:cs="Arial"/>
        </w:rPr>
        <w:t>.  Rationale</w:t>
      </w:r>
      <w:r>
        <w:rPr>
          <w:rFonts w:eastAsia="Arial" w:cs="Arial"/>
        </w:rPr>
        <w:t>:</w:t>
      </w:r>
      <w:r w:rsidR="00F842F3">
        <w:rPr>
          <w:rFonts w:eastAsia="Arial" w:cs="Arial"/>
        </w:rPr>
        <w:t xml:space="preserve"> explanation of capability levels relates only to radar and is more appropriate addressed in this section.</w:t>
      </w:r>
    </w:p>
    <w:p w14:paraId="531C168D" w14:textId="1F3B8FD2" w:rsidR="00F842F3" w:rsidRDefault="00F842F3" w:rsidP="00F842F3">
      <w:pPr>
        <w:pStyle w:val="Heading2"/>
        <w:widowControl w:val="0"/>
        <w:numPr>
          <w:ilvl w:val="1"/>
          <w:numId w:val="47"/>
        </w:numPr>
        <w:tabs>
          <w:tab w:val="left" w:pos="965"/>
        </w:tabs>
        <w:spacing w:before="0" w:after="0"/>
        <w:ind w:left="1570" w:hanging="850"/>
        <w:jc w:val="both"/>
        <w:rPr>
          <w:b w:val="0"/>
          <w:bCs/>
        </w:rPr>
      </w:pPr>
      <w:bookmarkStart w:id="2" w:name="_TOC_250069"/>
      <w:r>
        <w:t>Introduction</w:t>
      </w:r>
      <w:bookmarkEnd w:id="2"/>
    </w:p>
    <w:p w14:paraId="779A11EF" w14:textId="77777777" w:rsidR="00F842F3" w:rsidRDefault="00F842F3" w:rsidP="00F842F3">
      <w:pPr>
        <w:pStyle w:val="BodyText"/>
        <w:ind w:left="607" w:right="108"/>
        <w:jc w:val="left"/>
      </w:pPr>
      <w:r>
        <w:t>The purpose of this section is to support Competent and VTS authorities in the understanding of radar performance, supporting the design of radar service and its contribution to the VTS traffic image (situational</w:t>
      </w:r>
      <w:r>
        <w:rPr>
          <w:spacing w:val="-6"/>
        </w:rPr>
        <w:t xml:space="preserve"> </w:t>
      </w:r>
      <w:r>
        <w:t>awareness).</w:t>
      </w:r>
    </w:p>
    <w:p w14:paraId="635E1698" w14:textId="6CAF018C" w:rsidR="00FC0EFD" w:rsidRDefault="00F842F3" w:rsidP="00F842F3">
      <w:pPr>
        <w:pStyle w:val="BodyText"/>
        <w:spacing w:before="117"/>
        <w:ind w:left="606" w:right="109"/>
        <w:jc w:val="left"/>
      </w:pPr>
      <w:r>
        <w:t>The VTS Authority should specify the Operational and associated Validation Requirements, (e.g. coverage, targets to be detected and target separation) rather than Technical Specifications, (e.g. Transmitted power, pulse characteristics and antenna data) of radar sensor(s). Weather, sea conditions</w:t>
      </w:r>
      <w:r>
        <w:rPr>
          <w:spacing w:val="-8"/>
        </w:rPr>
        <w:t xml:space="preserve"> </w:t>
      </w:r>
      <w:r>
        <w:t>and</w:t>
      </w:r>
      <w:r>
        <w:rPr>
          <w:spacing w:val="-8"/>
        </w:rPr>
        <w:t xml:space="preserve"> </w:t>
      </w:r>
      <w:r>
        <w:t>geographical</w:t>
      </w:r>
      <w:r>
        <w:rPr>
          <w:spacing w:val="-8"/>
        </w:rPr>
        <w:t xml:space="preserve"> </w:t>
      </w:r>
      <w:r>
        <w:t>constraints</w:t>
      </w:r>
      <w:r>
        <w:rPr>
          <w:spacing w:val="-8"/>
        </w:rPr>
        <w:t xml:space="preserve"> </w:t>
      </w:r>
      <w:r>
        <w:t>pose</w:t>
      </w:r>
      <w:r>
        <w:rPr>
          <w:spacing w:val="-9"/>
        </w:rPr>
        <w:t xml:space="preserve"> </w:t>
      </w:r>
      <w:r>
        <w:t>challenges</w:t>
      </w:r>
      <w:r>
        <w:rPr>
          <w:spacing w:val="-8"/>
        </w:rPr>
        <w:t xml:space="preserve"> </w:t>
      </w:r>
      <w:r>
        <w:t>to</w:t>
      </w:r>
      <w:r>
        <w:rPr>
          <w:spacing w:val="-9"/>
        </w:rPr>
        <w:t xml:space="preserve"> </w:t>
      </w:r>
      <w:r>
        <w:t>the</w:t>
      </w:r>
      <w:r>
        <w:rPr>
          <w:spacing w:val="-9"/>
        </w:rPr>
        <w:t xml:space="preserve"> </w:t>
      </w:r>
      <w:r>
        <w:t>detection</w:t>
      </w:r>
      <w:r>
        <w:rPr>
          <w:spacing w:val="-8"/>
        </w:rPr>
        <w:t xml:space="preserve"> </w:t>
      </w:r>
      <w:r>
        <w:t>capability</w:t>
      </w:r>
      <w:r>
        <w:rPr>
          <w:spacing w:val="-8"/>
        </w:rPr>
        <w:t xml:space="preserve"> </w:t>
      </w:r>
      <w:r>
        <w:t>of</w:t>
      </w:r>
      <w:r>
        <w:rPr>
          <w:spacing w:val="-8"/>
        </w:rPr>
        <w:t xml:space="preserve"> </w:t>
      </w:r>
      <w:r>
        <w:t>radar</w:t>
      </w:r>
      <w:r>
        <w:rPr>
          <w:spacing w:val="-8"/>
        </w:rPr>
        <w:t xml:space="preserve"> </w:t>
      </w:r>
      <w:r>
        <w:t>sensors in</w:t>
      </w:r>
      <w:r>
        <w:rPr>
          <w:spacing w:val="-7"/>
        </w:rPr>
        <w:t xml:space="preserve"> </w:t>
      </w:r>
      <w:r>
        <w:t>VTS.</w:t>
      </w:r>
      <w:r>
        <w:rPr>
          <w:spacing w:val="-7"/>
        </w:rPr>
        <w:t xml:space="preserve"> </w:t>
      </w:r>
      <w:r>
        <w:t>The</w:t>
      </w:r>
      <w:r>
        <w:rPr>
          <w:spacing w:val="-6"/>
        </w:rPr>
        <w:t xml:space="preserve"> </w:t>
      </w:r>
      <w:r>
        <w:t>use</w:t>
      </w:r>
      <w:r>
        <w:rPr>
          <w:spacing w:val="-7"/>
        </w:rPr>
        <w:t xml:space="preserve"> </w:t>
      </w:r>
      <w:r>
        <w:t>of</w:t>
      </w:r>
      <w:r>
        <w:rPr>
          <w:spacing w:val="-7"/>
        </w:rPr>
        <w:t xml:space="preserve"> </w:t>
      </w:r>
      <w:r>
        <w:t>multi-sensor</w:t>
      </w:r>
      <w:r>
        <w:rPr>
          <w:spacing w:val="-7"/>
        </w:rPr>
        <w:t xml:space="preserve"> </w:t>
      </w:r>
      <w:r>
        <w:t>integration,</w:t>
      </w:r>
      <w:r>
        <w:rPr>
          <w:spacing w:val="-7"/>
        </w:rPr>
        <w:t xml:space="preserve"> </w:t>
      </w:r>
      <w:r>
        <w:t>including</w:t>
      </w:r>
      <w:r>
        <w:rPr>
          <w:spacing w:val="-7"/>
        </w:rPr>
        <w:t xml:space="preserve"> </w:t>
      </w:r>
      <w:r>
        <w:t>radar,</w:t>
      </w:r>
      <w:r>
        <w:rPr>
          <w:spacing w:val="-7"/>
        </w:rPr>
        <w:t xml:space="preserve"> </w:t>
      </w:r>
      <w:r>
        <w:t>AIS</w:t>
      </w:r>
      <w:r>
        <w:rPr>
          <w:spacing w:val="-7"/>
        </w:rPr>
        <w:t xml:space="preserve"> </w:t>
      </w:r>
      <w:r>
        <w:t>and</w:t>
      </w:r>
      <w:r>
        <w:rPr>
          <w:spacing w:val="-7"/>
        </w:rPr>
        <w:t xml:space="preserve"> </w:t>
      </w:r>
      <w:r>
        <w:t>other</w:t>
      </w:r>
      <w:r>
        <w:rPr>
          <w:spacing w:val="-7"/>
        </w:rPr>
        <w:t xml:space="preserve"> </w:t>
      </w:r>
      <w:r>
        <w:t>sensors</w:t>
      </w:r>
      <w:r>
        <w:rPr>
          <w:spacing w:val="-7"/>
        </w:rPr>
        <w:t xml:space="preserve"> </w:t>
      </w:r>
      <w:r>
        <w:t>also</w:t>
      </w:r>
      <w:r>
        <w:rPr>
          <w:spacing w:val="-7"/>
        </w:rPr>
        <w:t xml:space="preserve"> </w:t>
      </w:r>
      <w:r>
        <w:t>needs</w:t>
      </w:r>
      <w:r>
        <w:rPr>
          <w:spacing w:val="-7"/>
        </w:rPr>
        <w:t xml:space="preserve"> </w:t>
      </w:r>
      <w:r>
        <w:t>to</w:t>
      </w:r>
      <w:r>
        <w:rPr>
          <w:spacing w:val="-8"/>
        </w:rPr>
        <w:t xml:space="preserve"> </w:t>
      </w:r>
      <w:r>
        <w:t>be taken into</w:t>
      </w:r>
      <w:r>
        <w:rPr>
          <w:spacing w:val="-5"/>
        </w:rPr>
        <w:t xml:space="preserve"> </w:t>
      </w:r>
      <w:r>
        <w:t>account.</w:t>
      </w:r>
    </w:p>
    <w:p w14:paraId="6D7FA739" w14:textId="5BFC955B" w:rsidR="00FC0EFD" w:rsidRPr="00BD4AA8" w:rsidRDefault="00FC0EFD" w:rsidP="00F842F3">
      <w:pPr>
        <w:pStyle w:val="BodyText"/>
        <w:ind w:left="606" w:right="109"/>
        <w:jc w:val="left"/>
        <w:rPr>
          <w:color w:val="FF0000"/>
        </w:rPr>
      </w:pPr>
      <w:r w:rsidRPr="00BD4AA8">
        <w:rPr>
          <w:color w:val="FF0000"/>
        </w:rPr>
        <w:t xml:space="preserve">Tables in this section make reference to three different levels of radar capability, Basic, Standard or Advanced, as a means of cross-linking detection and accuracy with environmental conditions and type of target to be detected.  Selection of the appropriate capability and performance standards in these tables will flow from the operational requirements and needs analysis process, which may vary in different parts of the VTS area.  For </w:t>
      </w:r>
      <w:proofErr w:type="spellStart"/>
      <w:r w:rsidRPr="00BD4AA8">
        <w:rPr>
          <w:color w:val="FF0000"/>
        </w:rPr>
        <w:t>equipments</w:t>
      </w:r>
      <w:proofErr w:type="spellEnd"/>
      <w:r w:rsidRPr="00BD4AA8">
        <w:rPr>
          <w:color w:val="FF0000"/>
        </w:rPr>
        <w:t xml:space="preserve"> addressed in other sections, the level of capability is more incremental in nature and the needs analysis process will determine whether </w:t>
      </w:r>
      <w:proofErr w:type="gramStart"/>
      <w:r w:rsidRPr="00BD4AA8">
        <w:rPr>
          <w:color w:val="FF0000"/>
        </w:rPr>
        <w:t>a specific</w:t>
      </w:r>
      <w:proofErr w:type="gramEnd"/>
      <w:r w:rsidRPr="00BD4AA8">
        <w:rPr>
          <w:color w:val="FF0000"/>
        </w:rPr>
        <w:t xml:space="preserve"> equipment is required and, if so, the appropriate capability</w:t>
      </w:r>
      <w:r w:rsidR="00FD4ECF" w:rsidRPr="00BD4AA8">
        <w:rPr>
          <w:color w:val="FF0000"/>
        </w:rPr>
        <w:t>,</w:t>
      </w:r>
      <w:r w:rsidRPr="00BD4AA8">
        <w:rPr>
          <w:color w:val="FF0000"/>
        </w:rPr>
        <w:t xml:space="preserve"> without the need for defined capability levels.</w:t>
      </w:r>
    </w:p>
    <w:p w14:paraId="3F90244E" w14:textId="17CD8BD2" w:rsidR="00F842F3" w:rsidRPr="00F842F3" w:rsidRDefault="00F842F3" w:rsidP="00F842F3">
      <w:pPr>
        <w:pStyle w:val="BodyText"/>
        <w:ind w:left="606" w:right="109"/>
        <w:jc w:val="left"/>
        <w:rPr>
          <w:lang w:val="en-US"/>
        </w:rPr>
      </w:pPr>
      <w:r w:rsidRPr="00F842F3">
        <w:rPr>
          <w:lang w:val="en-US"/>
        </w:rPr>
        <w:t>Specific security requirements may introduce particular challenges to the radar sensor where there could be a need to detect small targets in heavy clutter conditions or where small versus large target discrimination is essential</w:t>
      </w:r>
      <w:r>
        <w:rPr>
          <w:lang w:val="en-US"/>
        </w:rPr>
        <w:t>.</w:t>
      </w:r>
    </w:p>
    <w:sectPr w:rsidR="00F842F3" w:rsidRPr="00F842F3" w:rsidSect="0082480E">
      <w:head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BA333F" w14:textId="77777777" w:rsidR="007B6E8C" w:rsidRDefault="007B6E8C" w:rsidP="00362CD9">
      <w:r>
        <w:separator/>
      </w:r>
    </w:p>
  </w:endnote>
  <w:endnote w:type="continuationSeparator" w:id="0">
    <w:p w14:paraId="651720C5" w14:textId="77777777" w:rsidR="007B6E8C" w:rsidRDefault="007B6E8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Swis721 Hv BT"/>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8E257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D61E9" w14:textId="77777777" w:rsidR="007B6E8C" w:rsidRDefault="007B6E8C" w:rsidP="00362CD9">
      <w:r>
        <w:separator/>
      </w:r>
    </w:p>
  </w:footnote>
  <w:footnote w:type="continuationSeparator" w:id="0">
    <w:p w14:paraId="7BD9623C" w14:textId="77777777" w:rsidR="007B6E8C" w:rsidRDefault="007B6E8C"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22136" w14:textId="7C737AA2" w:rsidR="00027EC2" w:rsidRDefault="00027EC2">
    <w:pPr>
      <w:spacing w:line="14"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4530AB0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w:hAnsi="Arial" w:hint="default"/>
        <w:b w:val="0"/>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E3123C0"/>
    <w:multiLevelType w:val="hybridMultilevel"/>
    <w:tmpl w:val="6268B3D6"/>
    <w:lvl w:ilvl="0" w:tplc="A2343B5E">
      <w:start w:val="1"/>
      <w:numFmt w:val="bullet"/>
      <w:lvlText w:val="•"/>
      <w:lvlJc w:val="left"/>
      <w:pPr>
        <w:ind w:left="464" w:hanging="361"/>
      </w:pPr>
      <w:rPr>
        <w:rFonts w:ascii="Arial" w:eastAsia="Arial" w:hAnsi="Arial" w:hint="default"/>
        <w:w w:val="99"/>
        <w:sz w:val="22"/>
        <w:szCs w:val="22"/>
      </w:rPr>
    </w:lvl>
    <w:lvl w:ilvl="1" w:tplc="174AEE1C">
      <w:start w:val="1"/>
      <w:numFmt w:val="bullet"/>
      <w:lvlText w:val="•"/>
      <w:lvlJc w:val="left"/>
      <w:pPr>
        <w:ind w:left="839" w:hanging="361"/>
      </w:pPr>
      <w:rPr>
        <w:rFonts w:hint="default"/>
      </w:rPr>
    </w:lvl>
    <w:lvl w:ilvl="2" w:tplc="27E25FA6">
      <w:start w:val="1"/>
      <w:numFmt w:val="bullet"/>
      <w:lvlText w:val="•"/>
      <w:lvlJc w:val="left"/>
      <w:pPr>
        <w:ind w:left="1218" w:hanging="361"/>
      </w:pPr>
      <w:rPr>
        <w:rFonts w:hint="default"/>
      </w:rPr>
    </w:lvl>
    <w:lvl w:ilvl="3" w:tplc="F3FA41EE">
      <w:start w:val="1"/>
      <w:numFmt w:val="bullet"/>
      <w:lvlText w:val="•"/>
      <w:lvlJc w:val="left"/>
      <w:pPr>
        <w:ind w:left="1597" w:hanging="361"/>
      </w:pPr>
      <w:rPr>
        <w:rFonts w:hint="default"/>
      </w:rPr>
    </w:lvl>
    <w:lvl w:ilvl="4" w:tplc="A566B57C">
      <w:start w:val="1"/>
      <w:numFmt w:val="bullet"/>
      <w:lvlText w:val="•"/>
      <w:lvlJc w:val="left"/>
      <w:pPr>
        <w:ind w:left="1976" w:hanging="361"/>
      </w:pPr>
      <w:rPr>
        <w:rFonts w:hint="default"/>
      </w:rPr>
    </w:lvl>
    <w:lvl w:ilvl="5" w:tplc="D54409D2">
      <w:start w:val="1"/>
      <w:numFmt w:val="bullet"/>
      <w:lvlText w:val="•"/>
      <w:lvlJc w:val="left"/>
      <w:pPr>
        <w:ind w:left="2355" w:hanging="361"/>
      </w:pPr>
      <w:rPr>
        <w:rFonts w:hint="default"/>
      </w:rPr>
    </w:lvl>
    <w:lvl w:ilvl="6" w:tplc="42FE565E">
      <w:start w:val="1"/>
      <w:numFmt w:val="bullet"/>
      <w:lvlText w:val="•"/>
      <w:lvlJc w:val="left"/>
      <w:pPr>
        <w:ind w:left="2734" w:hanging="361"/>
      </w:pPr>
      <w:rPr>
        <w:rFonts w:hint="default"/>
      </w:rPr>
    </w:lvl>
    <w:lvl w:ilvl="7" w:tplc="E670120E">
      <w:start w:val="1"/>
      <w:numFmt w:val="bullet"/>
      <w:lvlText w:val="•"/>
      <w:lvlJc w:val="left"/>
      <w:pPr>
        <w:ind w:left="3114" w:hanging="361"/>
      </w:pPr>
      <w:rPr>
        <w:rFonts w:hint="default"/>
      </w:rPr>
    </w:lvl>
    <w:lvl w:ilvl="8" w:tplc="1BF27F5E">
      <w:start w:val="1"/>
      <w:numFmt w:val="bullet"/>
      <w:lvlText w:val="•"/>
      <w:lvlJc w:val="left"/>
      <w:pPr>
        <w:ind w:left="3493" w:hanging="361"/>
      </w:pPr>
      <w:rPr>
        <w:rFonts w:hint="default"/>
      </w:r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CB802EF"/>
    <w:multiLevelType w:val="multilevel"/>
    <w:tmpl w:val="318E7AC8"/>
    <w:lvl w:ilvl="0">
      <w:start w:val="2"/>
      <w:numFmt w:val="decimal"/>
      <w:lvlText w:val="%1"/>
      <w:lvlJc w:val="left"/>
      <w:pPr>
        <w:ind w:left="681" w:hanging="568"/>
        <w:jc w:val="left"/>
      </w:pPr>
      <w:rPr>
        <w:rFonts w:ascii="Arial" w:eastAsia="Arial" w:hAnsi="Arial" w:hint="default"/>
        <w:b/>
        <w:bCs/>
        <w:w w:val="99"/>
        <w:sz w:val="24"/>
        <w:szCs w:val="24"/>
      </w:rPr>
    </w:lvl>
    <w:lvl w:ilvl="1">
      <w:start w:val="1"/>
      <w:numFmt w:val="decimal"/>
      <w:lvlText w:val="%1.%2"/>
      <w:lvlJc w:val="left"/>
      <w:pPr>
        <w:ind w:left="964" w:hanging="851"/>
        <w:jc w:val="left"/>
      </w:pPr>
      <w:rPr>
        <w:rFonts w:ascii="Arial" w:eastAsia="Arial" w:hAnsi="Arial" w:hint="default"/>
        <w:b/>
        <w:bCs/>
        <w:w w:val="99"/>
        <w:sz w:val="22"/>
        <w:szCs w:val="22"/>
      </w:rPr>
    </w:lvl>
    <w:lvl w:ilvl="2">
      <w:start w:val="1"/>
      <w:numFmt w:val="decimal"/>
      <w:lvlText w:val="%1.%2.%3"/>
      <w:lvlJc w:val="left"/>
      <w:pPr>
        <w:ind w:left="114" w:hanging="993"/>
        <w:jc w:val="left"/>
      </w:pPr>
      <w:rPr>
        <w:rFonts w:ascii="Arial" w:eastAsia="Arial" w:hAnsi="Arial" w:hint="default"/>
        <w:w w:val="99"/>
        <w:sz w:val="22"/>
        <w:szCs w:val="22"/>
      </w:rPr>
    </w:lvl>
    <w:lvl w:ilvl="3">
      <w:start w:val="1"/>
      <w:numFmt w:val="decimal"/>
      <w:lvlText w:val="%1.%2.%3.%4"/>
      <w:lvlJc w:val="left"/>
      <w:pPr>
        <w:ind w:left="2381" w:hanging="1134"/>
        <w:jc w:val="left"/>
      </w:pPr>
      <w:rPr>
        <w:rFonts w:ascii="Arial" w:eastAsia="Arial" w:hAnsi="Arial" w:hint="default"/>
        <w:w w:val="99"/>
        <w:sz w:val="22"/>
        <w:szCs w:val="22"/>
      </w:rPr>
    </w:lvl>
    <w:lvl w:ilvl="4">
      <w:start w:val="1"/>
      <w:numFmt w:val="decimal"/>
      <w:lvlText w:val="%1.%2.%3.%4.%5"/>
      <w:lvlJc w:val="left"/>
      <w:pPr>
        <w:ind w:left="2948" w:hanging="1417"/>
        <w:jc w:val="left"/>
      </w:pPr>
      <w:rPr>
        <w:rFonts w:ascii="Arial" w:eastAsia="Arial" w:hAnsi="Arial" w:hint="default"/>
        <w:w w:val="99"/>
        <w:sz w:val="22"/>
        <w:szCs w:val="22"/>
      </w:rPr>
    </w:lvl>
    <w:lvl w:ilvl="5">
      <w:start w:val="1"/>
      <w:numFmt w:val="bullet"/>
      <w:lvlText w:val="•"/>
      <w:lvlJc w:val="left"/>
      <w:pPr>
        <w:ind w:left="1720" w:hanging="1417"/>
      </w:pPr>
      <w:rPr>
        <w:rFonts w:hint="default"/>
      </w:rPr>
    </w:lvl>
    <w:lvl w:ilvl="6">
      <w:start w:val="1"/>
      <w:numFmt w:val="bullet"/>
      <w:lvlText w:val="•"/>
      <w:lvlJc w:val="left"/>
      <w:pPr>
        <w:ind w:left="2380" w:hanging="1417"/>
      </w:pPr>
      <w:rPr>
        <w:rFonts w:hint="default"/>
      </w:rPr>
    </w:lvl>
    <w:lvl w:ilvl="7">
      <w:start w:val="1"/>
      <w:numFmt w:val="bullet"/>
      <w:lvlText w:val="•"/>
      <w:lvlJc w:val="left"/>
      <w:pPr>
        <w:ind w:left="2940" w:hanging="1417"/>
      </w:pPr>
      <w:rPr>
        <w:rFonts w:hint="default"/>
      </w:rPr>
    </w:lvl>
    <w:lvl w:ilvl="8">
      <w:start w:val="1"/>
      <w:numFmt w:val="bullet"/>
      <w:lvlText w:val="•"/>
      <w:lvlJc w:val="left"/>
      <w:pPr>
        <w:ind w:left="2960" w:hanging="1417"/>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B40730"/>
    <w:multiLevelType w:val="multilevel"/>
    <w:tmpl w:val="B0621C8C"/>
    <w:lvl w:ilvl="0">
      <w:start w:val="1"/>
      <w:numFmt w:val="decimal"/>
      <w:lvlText w:val="%1"/>
      <w:lvlJc w:val="left"/>
      <w:pPr>
        <w:ind w:left="964" w:hanging="851"/>
      </w:pPr>
      <w:rPr>
        <w:rFonts w:hint="default"/>
      </w:rPr>
    </w:lvl>
    <w:lvl w:ilvl="1">
      <w:start w:val="3"/>
      <w:numFmt w:val="decimal"/>
      <w:lvlText w:val="%1.%2"/>
      <w:lvlJc w:val="left"/>
      <w:pPr>
        <w:ind w:left="964" w:hanging="851"/>
      </w:pPr>
      <w:rPr>
        <w:rFonts w:ascii="Arial" w:eastAsia="Arial" w:hAnsi="Arial" w:hint="default"/>
        <w:b/>
        <w:bCs/>
        <w:w w:val="99"/>
        <w:sz w:val="22"/>
        <w:szCs w:val="22"/>
      </w:rPr>
    </w:lvl>
    <w:lvl w:ilvl="2">
      <w:start w:val="1"/>
      <w:numFmt w:val="bullet"/>
      <w:lvlText w:val=""/>
      <w:lvlJc w:val="left"/>
      <w:pPr>
        <w:ind w:left="834" w:hanging="361"/>
      </w:pPr>
      <w:rPr>
        <w:rFonts w:ascii="Symbol" w:eastAsia="Symbol" w:hAnsi="Symbol" w:hint="default"/>
        <w:w w:val="99"/>
        <w:sz w:val="22"/>
        <w:szCs w:val="22"/>
      </w:rPr>
    </w:lvl>
    <w:lvl w:ilvl="3">
      <w:start w:val="1"/>
      <w:numFmt w:val="bullet"/>
      <w:lvlText w:val="-"/>
      <w:lvlJc w:val="left"/>
      <w:pPr>
        <w:ind w:left="1815" w:hanging="568"/>
      </w:pPr>
      <w:rPr>
        <w:rFonts w:ascii="Arial" w:eastAsia="Arial" w:hAnsi="Arial" w:hint="default"/>
        <w:w w:val="100"/>
        <w:sz w:val="20"/>
        <w:szCs w:val="20"/>
      </w:rPr>
    </w:lvl>
    <w:lvl w:ilvl="4">
      <w:start w:val="1"/>
      <w:numFmt w:val="bullet"/>
      <w:lvlText w:val="•"/>
      <w:lvlJc w:val="left"/>
      <w:pPr>
        <w:ind w:left="2969" w:hanging="568"/>
      </w:pPr>
      <w:rPr>
        <w:rFonts w:hint="default"/>
      </w:rPr>
    </w:lvl>
    <w:lvl w:ilvl="5">
      <w:start w:val="1"/>
      <w:numFmt w:val="bullet"/>
      <w:lvlText w:val="•"/>
      <w:lvlJc w:val="left"/>
      <w:pPr>
        <w:ind w:left="4118" w:hanging="568"/>
      </w:pPr>
      <w:rPr>
        <w:rFonts w:hint="default"/>
      </w:rPr>
    </w:lvl>
    <w:lvl w:ilvl="6">
      <w:start w:val="1"/>
      <w:numFmt w:val="bullet"/>
      <w:lvlText w:val="•"/>
      <w:lvlJc w:val="left"/>
      <w:pPr>
        <w:ind w:left="5267" w:hanging="568"/>
      </w:pPr>
      <w:rPr>
        <w:rFonts w:hint="default"/>
      </w:rPr>
    </w:lvl>
    <w:lvl w:ilvl="7">
      <w:start w:val="1"/>
      <w:numFmt w:val="bullet"/>
      <w:lvlText w:val="•"/>
      <w:lvlJc w:val="left"/>
      <w:pPr>
        <w:ind w:left="6416" w:hanging="568"/>
      </w:pPr>
      <w:rPr>
        <w:rFonts w:hint="default"/>
      </w:rPr>
    </w:lvl>
    <w:lvl w:ilvl="8">
      <w:start w:val="1"/>
      <w:numFmt w:val="bullet"/>
      <w:lvlText w:val="•"/>
      <w:lvlJc w:val="left"/>
      <w:pPr>
        <w:ind w:left="7566" w:hanging="568"/>
      </w:pPr>
      <w:rPr>
        <w:rFont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20"/>
  </w:num>
  <w:num w:numId="11">
    <w:abstractNumId w:val="18"/>
  </w:num>
  <w:num w:numId="12">
    <w:abstractNumId w:val="16"/>
  </w:num>
  <w:num w:numId="13">
    <w:abstractNumId w:val="25"/>
  </w:num>
  <w:num w:numId="14">
    <w:abstractNumId w:val="6"/>
  </w:num>
  <w:num w:numId="15">
    <w:abstractNumId w:val="27"/>
  </w:num>
  <w:num w:numId="16">
    <w:abstractNumId w:val="15"/>
  </w:num>
  <w:num w:numId="17">
    <w:abstractNumId w:val="8"/>
  </w:num>
  <w:num w:numId="18">
    <w:abstractNumId w:val="22"/>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3"/>
  </w:num>
  <w:num w:numId="37">
    <w:abstractNumId w:val="6"/>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5"/>
  </w:num>
  <w:num w:numId="46">
    <w:abstractNumId w:val="19"/>
  </w:num>
  <w:num w:numId="47">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6AA8"/>
    <w:rsid w:val="00027EC2"/>
    <w:rsid w:val="00037DF4"/>
    <w:rsid w:val="00041B08"/>
    <w:rsid w:val="0004700E"/>
    <w:rsid w:val="00067002"/>
    <w:rsid w:val="00070C13"/>
    <w:rsid w:val="00084F33"/>
    <w:rsid w:val="000A77A7"/>
    <w:rsid w:val="000B1707"/>
    <w:rsid w:val="000C1B3E"/>
    <w:rsid w:val="00177F4D"/>
    <w:rsid w:val="00180DDA"/>
    <w:rsid w:val="001B2A2D"/>
    <w:rsid w:val="001B39C9"/>
    <w:rsid w:val="001B737D"/>
    <w:rsid w:val="001C44A3"/>
    <w:rsid w:val="001E0E15"/>
    <w:rsid w:val="001F528A"/>
    <w:rsid w:val="001F704E"/>
    <w:rsid w:val="002125B0"/>
    <w:rsid w:val="00243228"/>
    <w:rsid w:val="00245A91"/>
    <w:rsid w:val="00251483"/>
    <w:rsid w:val="00255CAA"/>
    <w:rsid w:val="00264305"/>
    <w:rsid w:val="002A0346"/>
    <w:rsid w:val="002A0813"/>
    <w:rsid w:val="002A4487"/>
    <w:rsid w:val="002A623F"/>
    <w:rsid w:val="002B49E9"/>
    <w:rsid w:val="002D3E8B"/>
    <w:rsid w:val="002D4575"/>
    <w:rsid w:val="002D5C0C"/>
    <w:rsid w:val="002E03D1"/>
    <w:rsid w:val="002E6B74"/>
    <w:rsid w:val="002E6FCA"/>
    <w:rsid w:val="002F0FB5"/>
    <w:rsid w:val="00342FA0"/>
    <w:rsid w:val="00356CD0"/>
    <w:rsid w:val="00362CD9"/>
    <w:rsid w:val="00365254"/>
    <w:rsid w:val="003761CA"/>
    <w:rsid w:val="00380DAF"/>
    <w:rsid w:val="003B28F5"/>
    <w:rsid w:val="003B7B7D"/>
    <w:rsid w:val="003C0C8A"/>
    <w:rsid w:val="003C54CB"/>
    <w:rsid w:val="003C7A2A"/>
    <w:rsid w:val="003D2DC1"/>
    <w:rsid w:val="003D4829"/>
    <w:rsid w:val="003D69D0"/>
    <w:rsid w:val="003F2918"/>
    <w:rsid w:val="003F430E"/>
    <w:rsid w:val="0041088C"/>
    <w:rsid w:val="00420A38"/>
    <w:rsid w:val="004271F3"/>
    <w:rsid w:val="00431B19"/>
    <w:rsid w:val="00452C47"/>
    <w:rsid w:val="004661AD"/>
    <w:rsid w:val="004741CF"/>
    <w:rsid w:val="004D1D85"/>
    <w:rsid w:val="004D3C3A"/>
    <w:rsid w:val="004E1CD1"/>
    <w:rsid w:val="005107EB"/>
    <w:rsid w:val="00521345"/>
    <w:rsid w:val="00526DF0"/>
    <w:rsid w:val="00545CC4"/>
    <w:rsid w:val="00551FFF"/>
    <w:rsid w:val="005607A2"/>
    <w:rsid w:val="0057198B"/>
    <w:rsid w:val="0057682F"/>
    <w:rsid w:val="00577DF1"/>
    <w:rsid w:val="00597FAE"/>
    <w:rsid w:val="005B32A3"/>
    <w:rsid w:val="005C0D44"/>
    <w:rsid w:val="005C566C"/>
    <w:rsid w:val="005C7E69"/>
    <w:rsid w:val="005E262D"/>
    <w:rsid w:val="005F1AC8"/>
    <w:rsid w:val="005F23D3"/>
    <w:rsid w:val="005F7E20"/>
    <w:rsid w:val="006652C3"/>
    <w:rsid w:val="00691FD0"/>
    <w:rsid w:val="00692148"/>
    <w:rsid w:val="006C5948"/>
    <w:rsid w:val="006E0DBF"/>
    <w:rsid w:val="006F2A74"/>
    <w:rsid w:val="007118F5"/>
    <w:rsid w:val="00712AA4"/>
    <w:rsid w:val="007135A9"/>
    <w:rsid w:val="00721AA1"/>
    <w:rsid w:val="00724B67"/>
    <w:rsid w:val="00743777"/>
    <w:rsid w:val="007547F8"/>
    <w:rsid w:val="00761C40"/>
    <w:rsid w:val="00765622"/>
    <w:rsid w:val="00770B6C"/>
    <w:rsid w:val="00783FEA"/>
    <w:rsid w:val="00791E34"/>
    <w:rsid w:val="007B6E8C"/>
    <w:rsid w:val="0080294B"/>
    <w:rsid w:val="0082480E"/>
    <w:rsid w:val="008327FD"/>
    <w:rsid w:val="00845122"/>
    <w:rsid w:val="00850293"/>
    <w:rsid w:val="00851373"/>
    <w:rsid w:val="00851BA6"/>
    <w:rsid w:val="00855FFF"/>
    <w:rsid w:val="0085654D"/>
    <w:rsid w:val="00860F0D"/>
    <w:rsid w:val="00861160"/>
    <w:rsid w:val="0086654F"/>
    <w:rsid w:val="00874E11"/>
    <w:rsid w:val="008A356F"/>
    <w:rsid w:val="008A4653"/>
    <w:rsid w:val="008A4717"/>
    <w:rsid w:val="008A50CC"/>
    <w:rsid w:val="008D1694"/>
    <w:rsid w:val="008D79CB"/>
    <w:rsid w:val="008E257F"/>
    <w:rsid w:val="008F07BC"/>
    <w:rsid w:val="0092692B"/>
    <w:rsid w:val="00943E9C"/>
    <w:rsid w:val="00953F4D"/>
    <w:rsid w:val="00954D83"/>
    <w:rsid w:val="00960BB8"/>
    <w:rsid w:val="00964F5C"/>
    <w:rsid w:val="009831C0"/>
    <w:rsid w:val="009D1607"/>
    <w:rsid w:val="00A0389B"/>
    <w:rsid w:val="00A20736"/>
    <w:rsid w:val="00A446C9"/>
    <w:rsid w:val="00A635D6"/>
    <w:rsid w:val="00A8553A"/>
    <w:rsid w:val="00A93AED"/>
    <w:rsid w:val="00AA36FA"/>
    <w:rsid w:val="00B226F2"/>
    <w:rsid w:val="00B274DF"/>
    <w:rsid w:val="00B56BDF"/>
    <w:rsid w:val="00B65812"/>
    <w:rsid w:val="00B85CD6"/>
    <w:rsid w:val="00B90A27"/>
    <w:rsid w:val="00B9554D"/>
    <w:rsid w:val="00BB2B9F"/>
    <w:rsid w:val="00BB7D9E"/>
    <w:rsid w:val="00BD3CB8"/>
    <w:rsid w:val="00BD4AA8"/>
    <w:rsid w:val="00BD4E6F"/>
    <w:rsid w:val="00BF32F0"/>
    <w:rsid w:val="00BF4DCE"/>
    <w:rsid w:val="00C05CE5"/>
    <w:rsid w:val="00C110AC"/>
    <w:rsid w:val="00C2151F"/>
    <w:rsid w:val="00C55DC4"/>
    <w:rsid w:val="00C6171E"/>
    <w:rsid w:val="00CA6F2C"/>
    <w:rsid w:val="00CB514E"/>
    <w:rsid w:val="00CF1871"/>
    <w:rsid w:val="00D1133E"/>
    <w:rsid w:val="00D17A34"/>
    <w:rsid w:val="00D26628"/>
    <w:rsid w:val="00D332B3"/>
    <w:rsid w:val="00D36250"/>
    <w:rsid w:val="00D55207"/>
    <w:rsid w:val="00D92B45"/>
    <w:rsid w:val="00D95962"/>
    <w:rsid w:val="00DC389B"/>
    <w:rsid w:val="00DE2FEE"/>
    <w:rsid w:val="00E00BE9"/>
    <w:rsid w:val="00E22A11"/>
    <w:rsid w:val="00E31E5C"/>
    <w:rsid w:val="00E558C3"/>
    <w:rsid w:val="00E55927"/>
    <w:rsid w:val="00E714B5"/>
    <w:rsid w:val="00E912A6"/>
    <w:rsid w:val="00EA4844"/>
    <w:rsid w:val="00EA4D9C"/>
    <w:rsid w:val="00EA5A97"/>
    <w:rsid w:val="00EB75EE"/>
    <w:rsid w:val="00EB7E27"/>
    <w:rsid w:val="00EE4C1D"/>
    <w:rsid w:val="00EF3685"/>
    <w:rsid w:val="00F159EB"/>
    <w:rsid w:val="00F15DEA"/>
    <w:rsid w:val="00F24669"/>
    <w:rsid w:val="00F25BF4"/>
    <w:rsid w:val="00F267DB"/>
    <w:rsid w:val="00F46F6F"/>
    <w:rsid w:val="00F54F69"/>
    <w:rsid w:val="00F60608"/>
    <w:rsid w:val="00F62217"/>
    <w:rsid w:val="00F842F3"/>
    <w:rsid w:val="00FB17A9"/>
    <w:rsid w:val="00FB527C"/>
    <w:rsid w:val="00FB6F75"/>
    <w:rsid w:val="00FC0EB3"/>
    <w:rsid w:val="00FC0EFD"/>
    <w:rsid w:val="00FD4ECF"/>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D4A02-EB8E-4D1B-9DE4-74DDE96F3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1340</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2016-02-07T18:37:00Z</dcterms:created>
  <dcterms:modified xsi:type="dcterms:W3CDTF">2016-02-09T12:05:00Z</dcterms:modified>
</cp:coreProperties>
</file>